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B27EDF" w14:paraId="48F939B3" w14:textId="77777777">
        <w:trPr>
          <w:tblCellSpacing w:w="60" w:type="dxa"/>
        </w:trPr>
        <w:tc>
          <w:tcPr>
            <w:tcW w:w="1200" w:type="pct"/>
            <w:shd w:val="clear" w:color="auto" w:fill="E7F0F9"/>
          </w:tcPr>
          <w:p w14:paraId="6ACEB7AF" w14:textId="77777777" w:rsidR="00B27EDF" w:rsidRDefault="00000000">
            <w:pPr>
              <w:spacing w:after="0" w:line="240" w:lineRule="auto"/>
            </w:pPr>
            <w:r>
              <w:rPr>
                <w:b/>
              </w:rPr>
              <w:t>RKP broj</w:t>
            </w:r>
          </w:p>
        </w:tc>
        <w:tc>
          <w:tcPr>
            <w:tcW w:w="0" w:type="auto"/>
            <w:shd w:val="clear" w:color="auto" w:fill="E7F0F9"/>
          </w:tcPr>
          <w:p w14:paraId="17699802" w14:textId="77777777" w:rsidR="00B27EDF" w:rsidRDefault="00000000">
            <w:pPr>
              <w:spacing w:after="0" w:line="240" w:lineRule="auto"/>
            </w:pPr>
            <w:r>
              <w:t>27999</w:t>
            </w:r>
          </w:p>
        </w:tc>
      </w:tr>
      <w:tr w:rsidR="00B27EDF" w14:paraId="7BC638AB" w14:textId="77777777">
        <w:trPr>
          <w:tblCellSpacing w:w="60" w:type="dxa"/>
        </w:trPr>
        <w:tc>
          <w:tcPr>
            <w:tcW w:w="1200" w:type="pct"/>
            <w:shd w:val="clear" w:color="auto" w:fill="E7F0F9"/>
          </w:tcPr>
          <w:p w14:paraId="1C2771FA" w14:textId="77777777" w:rsidR="00B27EDF" w:rsidRDefault="00000000">
            <w:pPr>
              <w:spacing w:after="0" w:line="240" w:lineRule="auto"/>
            </w:pPr>
            <w:r>
              <w:rPr>
                <w:b/>
              </w:rPr>
              <w:t>Naziv obveznika</w:t>
            </w:r>
          </w:p>
        </w:tc>
        <w:tc>
          <w:tcPr>
            <w:tcW w:w="0" w:type="auto"/>
            <w:shd w:val="clear" w:color="auto" w:fill="E7F0F9"/>
          </w:tcPr>
          <w:p w14:paraId="304C5784" w14:textId="77777777" w:rsidR="00B27EDF" w:rsidRDefault="00000000">
            <w:pPr>
              <w:spacing w:after="0" w:line="240" w:lineRule="auto"/>
            </w:pPr>
            <w:r>
              <w:t>JAVNA VATROGASNA POSTROJBA GRADA KOPRIVNICE</w:t>
            </w:r>
          </w:p>
        </w:tc>
      </w:tr>
      <w:tr w:rsidR="00B27EDF" w14:paraId="0A79A85D" w14:textId="77777777">
        <w:trPr>
          <w:tblCellSpacing w:w="60" w:type="dxa"/>
        </w:trPr>
        <w:tc>
          <w:tcPr>
            <w:tcW w:w="1200" w:type="pct"/>
            <w:shd w:val="clear" w:color="auto" w:fill="E7F0F9"/>
          </w:tcPr>
          <w:p w14:paraId="7E78F087" w14:textId="77777777" w:rsidR="00B27EDF" w:rsidRDefault="00000000">
            <w:pPr>
              <w:spacing w:after="0" w:line="240" w:lineRule="auto"/>
            </w:pPr>
            <w:r>
              <w:rPr>
                <w:b/>
              </w:rPr>
              <w:t>Razina</w:t>
            </w:r>
          </w:p>
        </w:tc>
        <w:tc>
          <w:tcPr>
            <w:tcW w:w="0" w:type="auto"/>
            <w:shd w:val="clear" w:color="auto" w:fill="E7F0F9"/>
          </w:tcPr>
          <w:p w14:paraId="00B0675A" w14:textId="77777777" w:rsidR="00B27EDF" w:rsidRDefault="00000000">
            <w:pPr>
              <w:spacing w:after="0" w:line="240" w:lineRule="auto"/>
            </w:pPr>
            <w:r>
              <w:t>31</w:t>
            </w:r>
          </w:p>
        </w:tc>
      </w:tr>
    </w:tbl>
    <w:p w14:paraId="783CA1E5" w14:textId="77777777" w:rsidR="00B27EDF" w:rsidRDefault="00000000">
      <w:r>
        <w:br/>
      </w:r>
    </w:p>
    <w:p w14:paraId="491BB6AE" w14:textId="77777777" w:rsidR="00B27EDF" w:rsidRDefault="00000000">
      <w:pPr>
        <w:spacing w:line="240" w:lineRule="auto"/>
        <w:jc w:val="center"/>
      </w:pPr>
      <w:r>
        <w:rPr>
          <w:b/>
          <w:sz w:val="28"/>
        </w:rPr>
        <w:t>BILJEŠKE UZ FINANCIJSKE IZVJEŠTAJE</w:t>
      </w:r>
    </w:p>
    <w:p w14:paraId="473C0368" w14:textId="77777777" w:rsidR="00B27EDF" w:rsidRDefault="00000000">
      <w:pPr>
        <w:spacing w:line="240" w:lineRule="auto"/>
        <w:jc w:val="center"/>
      </w:pPr>
      <w:r>
        <w:rPr>
          <w:b/>
          <w:sz w:val="28"/>
        </w:rPr>
        <w:t>ZA RAZDOBLJE</w:t>
      </w:r>
    </w:p>
    <w:p w14:paraId="645B9095" w14:textId="77777777" w:rsidR="00B27EDF" w:rsidRDefault="00000000">
      <w:pPr>
        <w:spacing w:line="240" w:lineRule="auto"/>
        <w:jc w:val="center"/>
      </w:pPr>
      <w:r>
        <w:rPr>
          <w:b/>
          <w:sz w:val="28"/>
        </w:rPr>
        <w:t>I - XII 2025.</w:t>
      </w:r>
    </w:p>
    <w:p w14:paraId="27C6A23C" w14:textId="77777777" w:rsidR="00B27EDF" w:rsidRDefault="00B27EDF"/>
    <w:p w14:paraId="0A4AA62D" w14:textId="77777777" w:rsidR="00B27EDF" w:rsidRDefault="00000000">
      <w:pPr>
        <w:keepNext/>
        <w:spacing w:line="240" w:lineRule="auto"/>
        <w:jc w:val="center"/>
      </w:pPr>
      <w:r>
        <w:rPr>
          <w:b/>
          <w:sz w:val="28"/>
        </w:rPr>
        <w:t>Izvještaj o prihodima i rashodima, primicima i izdacima</w:t>
      </w:r>
    </w:p>
    <w:p w14:paraId="6CD5BFAC" w14:textId="77777777" w:rsidR="00B27EDF"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27EDF" w14:paraId="50EAB750" w14:textId="77777777">
        <w:trPr>
          <w:cantSplit/>
        </w:trPr>
        <w:tc>
          <w:tcPr>
            <w:tcW w:w="700" w:type="dxa"/>
            <w:shd w:val="clear" w:color="auto" w:fill="E7F0F9"/>
            <w:tcMar>
              <w:top w:w="0" w:type="dxa"/>
              <w:bottom w:w="0" w:type="dxa"/>
            </w:tcMar>
            <w:vAlign w:val="center"/>
          </w:tcPr>
          <w:p w14:paraId="5F271395" w14:textId="77777777" w:rsidR="00B27ED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271CC2" w14:textId="77777777" w:rsidR="00B27ED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873250" w14:textId="77777777" w:rsidR="00B27ED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A22060" w14:textId="77777777" w:rsidR="00B27ED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C0B958" w14:textId="77777777" w:rsidR="00B27ED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936732" w14:textId="77777777" w:rsidR="00B27EDF" w:rsidRDefault="00000000">
            <w:pPr>
              <w:keepNext/>
              <w:keepLines/>
              <w:spacing w:after="0" w:line="240" w:lineRule="auto"/>
              <w:jc w:val="center"/>
            </w:pPr>
            <w:r>
              <w:rPr>
                <w:b/>
                <w:sz w:val="18"/>
              </w:rPr>
              <w:t>Indeks (%)</w:t>
            </w:r>
          </w:p>
        </w:tc>
      </w:tr>
      <w:tr w:rsidR="00B27EDF" w14:paraId="5B521B7B" w14:textId="77777777">
        <w:trPr>
          <w:cantSplit/>
          <w:trHeight w:val="560"/>
        </w:trPr>
        <w:tc>
          <w:tcPr>
            <w:tcW w:w="700" w:type="dxa"/>
            <w:tcMar>
              <w:top w:w="0" w:type="dxa"/>
              <w:bottom w:w="0" w:type="dxa"/>
            </w:tcMar>
            <w:vAlign w:val="center"/>
          </w:tcPr>
          <w:p w14:paraId="57876335" w14:textId="77777777" w:rsidR="00B27EDF" w:rsidRDefault="00000000">
            <w:pPr>
              <w:keepNext/>
              <w:keepLines/>
              <w:spacing w:after="0" w:line="240" w:lineRule="auto"/>
            </w:pPr>
            <w:r>
              <w:rPr>
                <w:sz w:val="18"/>
              </w:rPr>
              <w:t>6</w:t>
            </w:r>
          </w:p>
        </w:tc>
        <w:tc>
          <w:tcPr>
            <w:tcW w:w="3180" w:type="dxa"/>
            <w:tcMar>
              <w:top w:w="0" w:type="dxa"/>
              <w:bottom w:w="0" w:type="dxa"/>
            </w:tcMar>
            <w:vAlign w:val="center"/>
          </w:tcPr>
          <w:p w14:paraId="7FF5DEB6" w14:textId="77777777" w:rsidR="00B27EDF"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66DF2FE" w14:textId="77777777" w:rsidR="00B27EDF" w:rsidRDefault="00000000">
            <w:pPr>
              <w:keepNext/>
              <w:keepLines/>
              <w:spacing w:after="0" w:line="240" w:lineRule="auto"/>
            </w:pPr>
            <w:r>
              <w:rPr>
                <w:sz w:val="18"/>
              </w:rPr>
              <w:t>6</w:t>
            </w:r>
          </w:p>
        </w:tc>
        <w:tc>
          <w:tcPr>
            <w:tcW w:w="1860" w:type="dxa"/>
            <w:tcMar>
              <w:top w:w="0" w:type="dxa"/>
              <w:bottom w:w="0" w:type="dxa"/>
            </w:tcMar>
            <w:vAlign w:val="center"/>
          </w:tcPr>
          <w:p w14:paraId="130FABF4" w14:textId="77777777" w:rsidR="00B27EDF" w:rsidRDefault="00000000">
            <w:pPr>
              <w:keepNext/>
              <w:keepLines/>
              <w:spacing w:after="0" w:line="240" w:lineRule="auto"/>
              <w:jc w:val="right"/>
            </w:pPr>
            <w:r>
              <w:rPr>
                <w:sz w:val="18"/>
              </w:rPr>
              <w:t>2.673.380,10</w:t>
            </w:r>
          </w:p>
        </w:tc>
        <w:tc>
          <w:tcPr>
            <w:tcW w:w="1860" w:type="dxa"/>
            <w:tcMar>
              <w:top w:w="0" w:type="dxa"/>
              <w:bottom w:w="0" w:type="dxa"/>
            </w:tcMar>
            <w:vAlign w:val="center"/>
          </w:tcPr>
          <w:p w14:paraId="5B447386" w14:textId="77777777" w:rsidR="00B27EDF" w:rsidRDefault="00000000">
            <w:pPr>
              <w:keepNext/>
              <w:keepLines/>
              <w:spacing w:after="0" w:line="240" w:lineRule="auto"/>
              <w:jc w:val="right"/>
            </w:pPr>
            <w:r>
              <w:rPr>
                <w:sz w:val="18"/>
              </w:rPr>
              <w:t>2.999.908,22</w:t>
            </w:r>
          </w:p>
        </w:tc>
        <w:tc>
          <w:tcPr>
            <w:tcW w:w="700" w:type="dxa"/>
            <w:tcMar>
              <w:top w:w="0" w:type="dxa"/>
              <w:bottom w:w="0" w:type="dxa"/>
            </w:tcMar>
            <w:vAlign w:val="center"/>
          </w:tcPr>
          <w:p w14:paraId="6C10CB3F" w14:textId="77777777" w:rsidR="00B27EDF" w:rsidRDefault="00000000">
            <w:pPr>
              <w:keepNext/>
              <w:keepLines/>
              <w:spacing w:after="0" w:line="240" w:lineRule="auto"/>
              <w:jc w:val="right"/>
            </w:pPr>
            <w:r>
              <w:rPr>
                <w:sz w:val="18"/>
              </w:rPr>
              <w:t>112,2</w:t>
            </w:r>
          </w:p>
        </w:tc>
      </w:tr>
      <w:tr w:rsidR="00B27EDF" w14:paraId="5C980C58" w14:textId="77777777">
        <w:trPr>
          <w:cantSplit/>
          <w:trHeight w:val="560"/>
        </w:trPr>
        <w:tc>
          <w:tcPr>
            <w:tcW w:w="700" w:type="dxa"/>
            <w:tcMar>
              <w:top w:w="0" w:type="dxa"/>
              <w:bottom w:w="0" w:type="dxa"/>
            </w:tcMar>
            <w:vAlign w:val="center"/>
          </w:tcPr>
          <w:p w14:paraId="77F53797" w14:textId="77777777" w:rsidR="00B27EDF" w:rsidRDefault="00000000">
            <w:pPr>
              <w:keepNext/>
              <w:keepLines/>
              <w:spacing w:after="0" w:line="240" w:lineRule="auto"/>
            </w:pPr>
            <w:r>
              <w:rPr>
                <w:sz w:val="18"/>
              </w:rPr>
              <w:t>3</w:t>
            </w:r>
          </w:p>
        </w:tc>
        <w:tc>
          <w:tcPr>
            <w:tcW w:w="3180" w:type="dxa"/>
            <w:tcMar>
              <w:top w:w="0" w:type="dxa"/>
              <w:bottom w:w="0" w:type="dxa"/>
            </w:tcMar>
            <w:vAlign w:val="center"/>
          </w:tcPr>
          <w:p w14:paraId="15628A01" w14:textId="77777777" w:rsidR="00B27EDF"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054FC71" w14:textId="77777777" w:rsidR="00B27EDF" w:rsidRDefault="00000000">
            <w:pPr>
              <w:keepNext/>
              <w:keepLines/>
              <w:spacing w:after="0" w:line="240" w:lineRule="auto"/>
            </w:pPr>
            <w:r>
              <w:rPr>
                <w:sz w:val="18"/>
              </w:rPr>
              <w:t>3</w:t>
            </w:r>
          </w:p>
        </w:tc>
        <w:tc>
          <w:tcPr>
            <w:tcW w:w="1860" w:type="dxa"/>
            <w:tcMar>
              <w:top w:w="0" w:type="dxa"/>
              <w:bottom w:w="0" w:type="dxa"/>
            </w:tcMar>
            <w:vAlign w:val="center"/>
          </w:tcPr>
          <w:p w14:paraId="576537BE" w14:textId="77777777" w:rsidR="00B27EDF" w:rsidRDefault="00000000">
            <w:pPr>
              <w:keepNext/>
              <w:keepLines/>
              <w:spacing w:after="0" w:line="240" w:lineRule="auto"/>
              <w:jc w:val="right"/>
            </w:pPr>
            <w:r>
              <w:rPr>
                <w:sz w:val="18"/>
              </w:rPr>
              <w:t>2.755.044,00</w:t>
            </w:r>
          </w:p>
        </w:tc>
        <w:tc>
          <w:tcPr>
            <w:tcW w:w="1860" w:type="dxa"/>
            <w:tcMar>
              <w:top w:w="0" w:type="dxa"/>
              <w:bottom w:w="0" w:type="dxa"/>
            </w:tcMar>
            <w:vAlign w:val="center"/>
          </w:tcPr>
          <w:p w14:paraId="611852CF" w14:textId="77777777" w:rsidR="00B27EDF" w:rsidRDefault="00000000">
            <w:pPr>
              <w:keepNext/>
              <w:keepLines/>
              <w:spacing w:after="0" w:line="240" w:lineRule="auto"/>
              <w:jc w:val="right"/>
            </w:pPr>
            <w:r>
              <w:rPr>
                <w:sz w:val="18"/>
              </w:rPr>
              <w:t>3.059.749,92</w:t>
            </w:r>
          </w:p>
        </w:tc>
        <w:tc>
          <w:tcPr>
            <w:tcW w:w="700" w:type="dxa"/>
            <w:tcMar>
              <w:top w:w="0" w:type="dxa"/>
              <w:bottom w:w="0" w:type="dxa"/>
            </w:tcMar>
            <w:vAlign w:val="center"/>
          </w:tcPr>
          <w:p w14:paraId="7D2DAECE" w14:textId="77777777" w:rsidR="00B27EDF" w:rsidRDefault="00000000">
            <w:pPr>
              <w:keepNext/>
              <w:keepLines/>
              <w:spacing w:after="0" w:line="240" w:lineRule="auto"/>
              <w:jc w:val="right"/>
            </w:pPr>
            <w:r>
              <w:rPr>
                <w:sz w:val="18"/>
              </w:rPr>
              <w:t>111,1</w:t>
            </w:r>
          </w:p>
        </w:tc>
      </w:tr>
      <w:tr w:rsidR="00B27EDF" w14:paraId="77E26DC3" w14:textId="77777777">
        <w:trPr>
          <w:cantSplit/>
          <w:trHeight w:val="560"/>
        </w:trPr>
        <w:tc>
          <w:tcPr>
            <w:tcW w:w="700" w:type="dxa"/>
            <w:tcMar>
              <w:top w:w="0" w:type="dxa"/>
              <w:bottom w:w="0" w:type="dxa"/>
            </w:tcMar>
            <w:vAlign w:val="center"/>
          </w:tcPr>
          <w:p w14:paraId="501E8161" w14:textId="77777777" w:rsidR="00B27EDF" w:rsidRDefault="00B27EDF">
            <w:pPr>
              <w:keepNext/>
              <w:keepLines/>
              <w:spacing w:after="0" w:line="240" w:lineRule="auto"/>
            </w:pPr>
          </w:p>
        </w:tc>
        <w:tc>
          <w:tcPr>
            <w:tcW w:w="3180" w:type="dxa"/>
            <w:tcMar>
              <w:top w:w="0" w:type="dxa"/>
              <w:bottom w:w="0" w:type="dxa"/>
            </w:tcMar>
            <w:vAlign w:val="center"/>
          </w:tcPr>
          <w:p w14:paraId="3D565848" w14:textId="77777777" w:rsidR="00B27EDF"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3485872B" w14:textId="77777777" w:rsidR="00B27EDF" w:rsidRDefault="00000000">
            <w:pPr>
              <w:keepNext/>
              <w:keepLines/>
              <w:spacing w:after="0" w:line="240" w:lineRule="auto"/>
            </w:pPr>
            <w:r>
              <w:rPr>
                <w:b/>
                <w:sz w:val="18"/>
              </w:rPr>
              <w:t>Y001</w:t>
            </w:r>
          </w:p>
        </w:tc>
        <w:tc>
          <w:tcPr>
            <w:tcW w:w="1860" w:type="dxa"/>
            <w:tcMar>
              <w:top w:w="0" w:type="dxa"/>
              <w:bottom w:w="0" w:type="dxa"/>
            </w:tcMar>
            <w:vAlign w:val="center"/>
          </w:tcPr>
          <w:p w14:paraId="019F3B44" w14:textId="77777777" w:rsidR="00B27EDF" w:rsidRDefault="00000000">
            <w:pPr>
              <w:keepNext/>
              <w:keepLines/>
              <w:spacing w:after="0" w:line="240" w:lineRule="auto"/>
              <w:jc w:val="right"/>
            </w:pPr>
            <w:r>
              <w:rPr>
                <w:b/>
                <w:sz w:val="18"/>
              </w:rPr>
              <w:t>81.663,90</w:t>
            </w:r>
          </w:p>
        </w:tc>
        <w:tc>
          <w:tcPr>
            <w:tcW w:w="1860" w:type="dxa"/>
            <w:tcMar>
              <w:top w:w="0" w:type="dxa"/>
              <w:bottom w:w="0" w:type="dxa"/>
            </w:tcMar>
            <w:vAlign w:val="center"/>
          </w:tcPr>
          <w:p w14:paraId="54B14D7C" w14:textId="77777777" w:rsidR="00B27EDF" w:rsidRDefault="00000000">
            <w:pPr>
              <w:keepNext/>
              <w:keepLines/>
              <w:spacing w:after="0" w:line="240" w:lineRule="auto"/>
              <w:jc w:val="right"/>
            </w:pPr>
            <w:r>
              <w:rPr>
                <w:b/>
                <w:sz w:val="18"/>
              </w:rPr>
              <w:t>59.841,70</w:t>
            </w:r>
          </w:p>
        </w:tc>
        <w:tc>
          <w:tcPr>
            <w:tcW w:w="700" w:type="dxa"/>
            <w:tcMar>
              <w:top w:w="0" w:type="dxa"/>
              <w:bottom w:w="0" w:type="dxa"/>
            </w:tcMar>
            <w:vAlign w:val="center"/>
          </w:tcPr>
          <w:p w14:paraId="30F66737" w14:textId="77777777" w:rsidR="00B27EDF" w:rsidRDefault="00000000">
            <w:pPr>
              <w:keepNext/>
              <w:keepLines/>
              <w:spacing w:after="0" w:line="240" w:lineRule="auto"/>
              <w:jc w:val="right"/>
            </w:pPr>
            <w:r>
              <w:rPr>
                <w:b/>
                <w:sz w:val="18"/>
              </w:rPr>
              <w:t>73,3</w:t>
            </w:r>
          </w:p>
        </w:tc>
      </w:tr>
      <w:tr w:rsidR="00B27EDF" w14:paraId="05152A3A" w14:textId="77777777">
        <w:trPr>
          <w:cantSplit/>
          <w:trHeight w:val="560"/>
        </w:trPr>
        <w:tc>
          <w:tcPr>
            <w:tcW w:w="700" w:type="dxa"/>
            <w:tcMar>
              <w:top w:w="0" w:type="dxa"/>
              <w:bottom w:w="0" w:type="dxa"/>
            </w:tcMar>
            <w:vAlign w:val="center"/>
          </w:tcPr>
          <w:p w14:paraId="4499C84D" w14:textId="77777777" w:rsidR="00B27EDF" w:rsidRDefault="00000000">
            <w:pPr>
              <w:keepNext/>
              <w:keepLines/>
              <w:spacing w:after="0" w:line="240" w:lineRule="auto"/>
            </w:pPr>
            <w:r>
              <w:rPr>
                <w:sz w:val="18"/>
              </w:rPr>
              <w:t>7</w:t>
            </w:r>
          </w:p>
        </w:tc>
        <w:tc>
          <w:tcPr>
            <w:tcW w:w="3180" w:type="dxa"/>
            <w:tcMar>
              <w:top w:w="0" w:type="dxa"/>
              <w:bottom w:w="0" w:type="dxa"/>
            </w:tcMar>
            <w:vAlign w:val="center"/>
          </w:tcPr>
          <w:p w14:paraId="5AA6128E" w14:textId="77777777" w:rsidR="00B27EDF"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022B099" w14:textId="77777777" w:rsidR="00B27EDF" w:rsidRDefault="00000000">
            <w:pPr>
              <w:keepNext/>
              <w:keepLines/>
              <w:spacing w:after="0" w:line="240" w:lineRule="auto"/>
            </w:pPr>
            <w:r>
              <w:rPr>
                <w:sz w:val="18"/>
              </w:rPr>
              <w:t>7</w:t>
            </w:r>
          </w:p>
        </w:tc>
        <w:tc>
          <w:tcPr>
            <w:tcW w:w="1860" w:type="dxa"/>
            <w:tcMar>
              <w:top w:w="0" w:type="dxa"/>
              <w:bottom w:w="0" w:type="dxa"/>
            </w:tcMar>
            <w:vAlign w:val="center"/>
          </w:tcPr>
          <w:p w14:paraId="3DDD9D59" w14:textId="77777777" w:rsidR="00B27EDF" w:rsidRDefault="00000000">
            <w:pPr>
              <w:keepNext/>
              <w:keepLines/>
              <w:spacing w:after="0" w:line="240" w:lineRule="auto"/>
              <w:jc w:val="right"/>
            </w:pPr>
            <w:r>
              <w:rPr>
                <w:sz w:val="18"/>
              </w:rPr>
              <w:t>0,00</w:t>
            </w:r>
          </w:p>
        </w:tc>
        <w:tc>
          <w:tcPr>
            <w:tcW w:w="1860" w:type="dxa"/>
            <w:tcMar>
              <w:top w:w="0" w:type="dxa"/>
              <w:bottom w:w="0" w:type="dxa"/>
            </w:tcMar>
            <w:vAlign w:val="center"/>
          </w:tcPr>
          <w:p w14:paraId="79EA28E9" w14:textId="77777777" w:rsidR="00B27EDF" w:rsidRDefault="00000000">
            <w:pPr>
              <w:keepNext/>
              <w:keepLines/>
              <w:spacing w:after="0" w:line="240" w:lineRule="auto"/>
              <w:jc w:val="right"/>
            </w:pPr>
            <w:r>
              <w:rPr>
                <w:sz w:val="18"/>
              </w:rPr>
              <w:t>0,00</w:t>
            </w:r>
          </w:p>
        </w:tc>
        <w:tc>
          <w:tcPr>
            <w:tcW w:w="700" w:type="dxa"/>
            <w:tcMar>
              <w:top w:w="0" w:type="dxa"/>
              <w:bottom w:w="0" w:type="dxa"/>
            </w:tcMar>
            <w:vAlign w:val="center"/>
          </w:tcPr>
          <w:p w14:paraId="27305AB9" w14:textId="77777777" w:rsidR="00B27EDF" w:rsidRDefault="00000000">
            <w:pPr>
              <w:keepNext/>
              <w:keepLines/>
              <w:spacing w:after="0" w:line="240" w:lineRule="auto"/>
              <w:jc w:val="right"/>
            </w:pPr>
            <w:r>
              <w:rPr>
                <w:sz w:val="18"/>
              </w:rPr>
              <w:t>-</w:t>
            </w:r>
          </w:p>
        </w:tc>
      </w:tr>
      <w:tr w:rsidR="00B27EDF" w14:paraId="4F11B8FE" w14:textId="77777777">
        <w:trPr>
          <w:cantSplit/>
          <w:trHeight w:val="560"/>
        </w:trPr>
        <w:tc>
          <w:tcPr>
            <w:tcW w:w="700" w:type="dxa"/>
            <w:tcMar>
              <w:top w:w="0" w:type="dxa"/>
              <w:bottom w:w="0" w:type="dxa"/>
            </w:tcMar>
            <w:vAlign w:val="center"/>
          </w:tcPr>
          <w:p w14:paraId="18019D55" w14:textId="77777777" w:rsidR="00B27EDF" w:rsidRDefault="00000000">
            <w:pPr>
              <w:keepNext/>
              <w:keepLines/>
              <w:spacing w:after="0" w:line="240" w:lineRule="auto"/>
            </w:pPr>
            <w:r>
              <w:rPr>
                <w:sz w:val="18"/>
              </w:rPr>
              <w:t>4</w:t>
            </w:r>
          </w:p>
        </w:tc>
        <w:tc>
          <w:tcPr>
            <w:tcW w:w="3180" w:type="dxa"/>
            <w:tcMar>
              <w:top w:w="0" w:type="dxa"/>
              <w:bottom w:w="0" w:type="dxa"/>
            </w:tcMar>
            <w:vAlign w:val="center"/>
          </w:tcPr>
          <w:p w14:paraId="10FD8A71" w14:textId="77777777" w:rsidR="00B27EDF"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9B4CC3E" w14:textId="77777777" w:rsidR="00B27EDF" w:rsidRDefault="00000000">
            <w:pPr>
              <w:keepNext/>
              <w:keepLines/>
              <w:spacing w:after="0" w:line="240" w:lineRule="auto"/>
            </w:pPr>
            <w:r>
              <w:rPr>
                <w:sz w:val="18"/>
              </w:rPr>
              <w:t>4</w:t>
            </w:r>
          </w:p>
        </w:tc>
        <w:tc>
          <w:tcPr>
            <w:tcW w:w="1860" w:type="dxa"/>
            <w:tcMar>
              <w:top w:w="0" w:type="dxa"/>
              <w:bottom w:w="0" w:type="dxa"/>
            </w:tcMar>
            <w:vAlign w:val="center"/>
          </w:tcPr>
          <w:p w14:paraId="580C5365" w14:textId="77777777" w:rsidR="00B27EDF" w:rsidRDefault="00000000">
            <w:pPr>
              <w:keepNext/>
              <w:keepLines/>
              <w:spacing w:after="0" w:line="240" w:lineRule="auto"/>
              <w:jc w:val="right"/>
            </w:pPr>
            <w:r>
              <w:rPr>
                <w:sz w:val="18"/>
              </w:rPr>
              <w:t>13.259,63</w:t>
            </w:r>
          </w:p>
        </w:tc>
        <w:tc>
          <w:tcPr>
            <w:tcW w:w="1860" w:type="dxa"/>
            <w:tcMar>
              <w:top w:w="0" w:type="dxa"/>
              <w:bottom w:w="0" w:type="dxa"/>
            </w:tcMar>
            <w:vAlign w:val="center"/>
          </w:tcPr>
          <w:p w14:paraId="6BE8209B" w14:textId="77777777" w:rsidR="00B27EDF" w:rsidRDefault="00000000">
            <w:pPr>
              <w:keepNext/>
              <w:keepLines/>
              <w:spacing w:after="0" w:line="240" w:lineRule="auto"/>
              <w:jc w:val="right"/>
            </w:pPr>
            <w:r>
              <w:rPr>
                <w:sz w:val="18"/>
              </w:rPr>
              <w:t>42.473,33</w:t>
            </w:r>
          </w:p>
        </w:tc>
        <w:tc>
          <w:tcPr>
            <w:tcW w:w="700" w:type="dxa"/>
            <w:tcMar>
              <w:top w:w="0" w:type="dxa"/>
              <w:bottom w:w="0" w:type="dxa"/>
            </w:tcMar>
            <w:vAlign w:val="center"/>
          </w:tcPr>
          <w:p w14:paraId="4337CF1F" w14:textId="77777777" w:rsidR="00B27EDF" w:rsidRDefault="00000000">
            <w:pPr>
              <w:keepNext/>
              <w:keepLines/>
              <w:spacing w:after="0" w:line="240" w:lineRule="auto"/>
              <w:jc w:val="right"/>
            </w:pPr>
            <w:r>
              <w:rPr>
                <w:sz w:val="18"/>
              </w:rPr>
              <w:t>320,3</w:t>
            </w:r>
          </w:p>
        </w:tc>
      </w:tr>
      <w:tr w:rsidR="00B27EDF" w14:paraId="06E91C0A" w14:textId="77777777">
        <w:trPr>
          <w:cantSplit/>
          <w:trHeight w:val="560"/>
        </w:trPr>
        <w:tc>
          <w:tcPr>
            <w:tcW w:w="700" w:type="dxa"/>
            <w:tcMar>
              <w:top w:w="0" w:type="dxa"/>
              <w:bottom w:w="0" w:type="dxa"/>
            </w:tcMar>
            <w:vAlign w:val="center"/>
          </w:tcPr>
          <w:p w14:paraId="75F2D537" w14:textId="77777777" w:rsidR="00B27EDF" w:rsidRDefault="00B27EDF">
            <w:pPr>
              <w:keepNext/>
              <w:keepLines/>
              <w:spacing w:after="0" w:line="240" w:lineRule="auto"/>
            </w:pPr>
          </w:p>
        </w:tc>
        <w:tc>
          <w:tcPr>
            <w:tcW w:w="3180" w:type="dxa"/>
            <w:tcMar>
              <w:top w:w="0" w:type="dxa"/>
              <w:bottom w:w="0" w:type="dxa"/>
            </w:tcMar>
            <w:vAlign w:val="center"/>
          </w:tcPr>
          <w:p w14:paraId="7FEAA33A" w14:textId="77777777" w:rsidR="00B27EDF"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784D8D6" w14:textId="77777777" w:rsidR="00B27EDF" w:rsidRDefault="00000000">
            <w:pPr>
              <w:keepNext/>
              <w:keepLines/>
              <w:spacing w:after="0" w:line="240" w:lineRule="auto"/>
            </w:pPr>
            <w:r>
              <w:rPr>
                <w:b/>
                <w:sz w:val="18"/>
              </w:rPr>
              <w:t>Y002</w:t>
            </w:r>
          </w:p>
        </w:tc>
        <w:tc>
          <w:tcPr>
            <w:tcW w:w="1860" w:type="dxa"/>
            <w:tcMar>
              <w:top w:w="0" w:type="dxa"/>
              <w:bottom w:w="0" w:type="dxa"/>
            </w:tcMar>
            <w:vAlign w:val="center"/>
          </w:tcPr>
          <w:p w14:paraId="6E7F71D1" w14:textId="77777777" w:rsidR="00B27EDF" w:rsidRDefault="00000000">
            <w:pPr>
              <w:keepNext/>
              <w:keepLines/>
              <w:spacing w:after="0" w:line="240" w:lineRule="auto"/>
              <w:jc w:val="right"/>
            </w:pPr>
            <w:r>
              <w:rPr>
                <w:b/>
                <w:sz w:val="18"/>
              </w:rPr>
              <w:t>13.259,63</w:t>
            </w:r>
          </w:p>
        </w:tc>
        <w:tc>
          <w:tcPr>
            <w:tcW w:w="1860" w:type="dxa"/>
            <w:tcMar>
              <w:top w:w="0" w:type="dxa"/>
              <w:bottom w:w="0" w:type="dxa"/>
            </w:tcMar>
            <w:vAlign w:val="center"/>
          </w:tcPr>
          <w:p w14:paraId="2A3E443B" w14:textId="77777777" w:rsidR="00B27EDF" w:rsidRDefault="00000000">
            <w:pPr>
              <w:keepNext/>
              <w:keepLines/>
              <w:spacing w:after="0" w:line="240" w:lineRule="auto"/>
              <w:jc w:val="right"/>
            </w:pPr>
            <w:r>
              <w:rPr>
                <w:b/>
                <w:sz w:val="18"/>
              </w:rPr>
              <w:t>42.473,33</w:t>
            </w:r>
          </w:p>
        </w:tc>
        <w:tc>
          <w:tcPr>
            <w:tcW w:w="700" w:type="dxa"/>
            <w:tcMar>
              <w:top w:w="0" w:type="dxa"/>
              <w:bottom w:w="0" w:type="dxa"/>
            </w:tcMar>
            <w:vAlign w:val="center"/>
          </w:tcPr>
          <w:p w14:paraId="31CC5517" w14:textId="77777777" w:rsidR="00B27EDF" w:rsidRDefault="00000000">
            <w:pPr>
              <w:keepNext/>
              <w:keepLines/>
              <w:spacing w:after="0" w:line="240" w:lineRule="auto"/>
              <w:jc w:val="right"/>
            </w:pPr>
            <w:r>
              <w:rPr>
                <w:b/>
                <w:sz w:val="18"/>
              </w:rPr>
              <w:t>320,3</w:t>
            </w:r>
          </w:p>
        </w:tc>
      </w:tr>
      <w:tr w:rsidR="00B27EDF" w14:paraId="5949F151" w14:textId="77777777">
        <w:trPr>
          <w:cantSplit/>
          <w:trHeight w:val="560"/>
        </w:trPr>
        <w:tc>
          <w:tcPr>
            <w:tcW w:w="700" w:type="dxa"/>
            <w:tcMar>
              <w:top w:w="0" w:type="dxa"/>
              <w:bottom w:w="0" w:type="dxa"/>
            </w:tcMar>
            <w:vAlign w:val="center"/>
          </w:tcPr>
          <w:p w14:paraId="37E56674" w14:textId="77777777" w:rsidR="00B27EDF" w:rsidRDefault="00000000">
            <w:pPr>
              <w:keepNext/>
              <w:keepLines/>
              <w:spacing w:after="0" w:line="240" w:lineRule="auto"/>
            </w:pPr>
            <w:r>
              <w:rPr>
                <w:sz w:val="18"/>
              </w:rPr>
              <w:t>8</w:t>
            </w:r>
          </w:p>
        </w:tc>
        <w:tc>
          <w:tcPr>
            <w:tcW w:w="3180" w:type="dxa"/>
            <w:tcMar>
              <w:top w:w="0" w:type="dxa"/>
              <w:bottom w:w="0" w:type="dxa"/>
            </w:tcMar>
            <w:vAlign w:val="center"/>
          </w:tcPr>
          <w:p w14:paraId="76983A2B" w14:textId="77777777" w:rsidR="00B27EDF"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8FC6F25" w14:textId="77777777" w:rsidR="00B27EDF" w:rsidRDefault="00000000">
            <w:pPr>
              <w:keepNext/>
              <w:keepLines/>
              <w:spacing w:after="0" w:line="240" w:lineRule="auto"/>
            </w:pPr>
            <w:r>
              <w:rPr>
                <w:sz w:val="18"/>
              </w:rPr>
              <w:t>8</w:t>
            </w:r>
          </w:p>
        </w:tc>
        <w:tc>
          <w:tcPr>
            <w:tcW w:w="1860" w:type="dxa"/>
            <w:tcMar>
              <w:top w:w="0" w:type="dxa"/>
              <w:bottom w:w="0" w:type="dxa"/>
            </w:tcMar>
            <w:vAlign w:val="center"/>
          </w:tcPr>
          <w:p w14:paraId="1740AB19" w14:textId="77777777" w:rsidR="00B27EDF" w:rsidRDefault="00000000">
            <w:pPr>
              <w:keepNext/>
              <w:keepLines/>
              <w:spacing w:after="0" w:line="240" w:lineRule="auto"/>
              <w:jc w:val="right"/>
            </w:pPr>
            <w:r>
              <w:rPr>
                <w:sz w:val="18"/>
              </w:rPr>
              <w:t>0,00</w:t>
            </w:r>
          </w:p>
        </w:tc>
        <w:tc>
          <w:tcPr>
            <w:tcW w:w="1860" w:type="dxa"/>
            <w:tcMar>
              <w:top w:w="0" w:type="dxa"/>
              <w:bottom w:w="0" w:type="dxa"/>
            </w:tcMar>
            <w:vAlign w:val="center"/>
          </w:tcPr>
          <w:p w14:paraId="26F08A97" w14:textId="77777777" w:rsidR="00B27EDF" w:rsidRDefault="00000000">
            <w:pPr>
              <w:keepNext/>
              <w:keepLines/>
              <w:spacing w:after="0" w:line="240" w:lineRule="auto"/>
              <w:jc w:val="right"/>
            </w:pPr>
            <w:r>
              <w:rPr>
                <w:sz w:val="18"/>
              </w:rPr>
              <w:t>0,00</w:t>
            </w:r>
          </w:p>
        </w:tc>
        <w:tc>
          <w:tcPr>
            <w:tcW w:w="700" w:type="dxa"/>
            <w:tcMar>
              <w:top w:w="0" w:type="dxa"/>
              <w:bottom w:w="0" w:type="dxa"/>
            </w:tcMar>
            <w:vAlign w:val="center"/>
          </w:tcPr>
          <w:p w14:paraId="750198A5" w14:textId="77777777" w:rsidR="00B27EDF" w:rsidRDefault="00000000">
            <w:pPr>
              <w:keepNext/>
              <w:keepLines/>
              <w:spacing w:after="0" w:line="240" w:lineRule="auto"/>
              <w:jc w:val="right"/>
            </w:pPr>
            <w:r>
              <w:rPr>
                <w:sz w:val="18"/>
              </w:rPr>
              <w:t>-</w:t>
            </w:r>
          </w:p>
        </w:tc>
      </w:tr>
      <w:tr w:rsidR="00B27EDF" w14:paraId="448E0749" w14:textId="77777777">
        <w:trPr>
          <w:cantSplit/>
          <w:trHeight w:val="560"/>
        </w:trPr>
        <w:tc>
          <w:tcPr>
            <w:tcW w:w="700" w:type="dxa"/>
            <w:tcMar>
              <w:top w:w="0" w:type="dxa"/>
              <w:bottom w:w="0" w:type="dxa"/>
            </w:tcMar>
            <w:vAlign w:val="center"/>
          </w:tcPr>
          <w:p w14:paraId="04BBA88A" w14:textId="77777777" w:rsidR="00B27EDF" w:rsidRDefault="00000000">
            <w:pPr>
              <w:keepNext/>
              <w:keepLines/>
              <w:spacing w:after="0" w:line="240" w:lineRule="auto"/>
            </w:pPr>
            <w:r>
              <w:rPr>
                <w:sz w:val="18"/>
              </w:rPr>
              <w:t>5</w:t>
            </w:r>
          </w:p>
        </w:tc>
        <w:tc>
          <w:tcPr>
            <w:tcW w:w="3180" w:type="dxa"/>
            <w:tcMar>
              <w:top w:w="0" w:type="dxa"/>
              <w:bottom w:w="0" w:type="dxa"/>
            </w:tcMar>
            <w:vAlign w:val="center"/>
          </w:tcPr>
          <w:p w14:paraId="2E3D7021" w14:textId="77777777" w:rsidR="00B27EDF"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6036C19" w14:textId="77777777" w:rsidR="00B27EDF" w:rsidRDefault="00000000">
            <w:pPr>
              <w:keepNext/>
              <w:keepLines/>
              <w:spacing w:after="0" w:line="240" w:lineRule="auto"/>
            </w:pPr>
            <w:r>
              <w:rPr>
                <w:sz w:val="18"/>
              </w:rPr>
              <w:t>5</w:t>
            </w:r>
          </w:p>
        </w:tc>
        <w:tc>
          <w:tcPr>
            <w:tcW w:w="1860" w:type="dxa"/>
            <w:tcMar>
              <w:top w:w="0" w:type="dxa"/>
              <w:bottom w:w="0" w:type="dxa"/>
            </w:tcMar>
            <w:vAlign w:val="center"/>
          </w:tcPr>
          <w:p w14:paraId="4C56A0D8" w14:textId="77777777" w:rsidR="00B27EDF" w:rsidRDefault="00000000">
            <w:pPr>
              <w:keepNext/>
              <w:keepLines/>
              <w:spacing w:after="0" w:line="240" w:lineRule="auto"/>
              <w:jc w:val="right"/>
            </w:pPr>
            <w:r>
              <w:rPr>
                <w:sz w:val="18"/>
              </w:rPr>
              <w:t>0,00</w:t>
            </w:r>
          </w:p>
        </w:tc>
        <w:tc>
          <w:tcPr>
            <w:tcW w:w="1860" w:type="dxa"/>
            <w:tcMar>
              <w:top w:w="0" w:type="dxa"/>
              <w:bottom w:w="0" w:type="dxa"/>
            </w:tcMar>
            <w:vAlign w:val="center"/>
          </w:tcPr>
          <w:p w14:paraId="32656D4A" w14:textId="77777777" w:rsidR="00B27EDF" w:rsidRDefault="00000000">
            <w:pPr>
              <w:keepNext/>
              <w:keepLines/>
              <w:spacing w:after="0" w:line="240" w:lineRule="auto"/>
              <w:jc w:val="right"/>
            </w:pPr>
            <w:r>
              <w:rPr>
                <w:sz w:val="18"/>
              </w:rPr>
              <w:t>0,00</w:t>
            </w:r>
          </w:p>
        </w:tc>
        <w:tc>
          <w:tcPr>
            <w:tcW w:w="700" w:type="dxa"/>
            <w:tcMar>
              <w:top w:w="0" w:type="dxa"/>
              <w:bottom w:w="0" w:type="dxa"/>
            </w:tcMar>
            <w:vAlign w:val="center"/>
          </w:tcPr>
          <w:p w14:paraId="781E7C28" w14:textId="77777777" w:rsidR="00B27EDF" w:rsidRDefault="00000000">
            <w:pPr>
              <w:keepNext/>
              <w:keepLines/>
              <w:spacing w:after="0" w:line="240" w:lineRule="auto"/>
              <w:jc w:val="right"/>
            </w:pPr>
            <w:r>
              <w:rPr>
                <w:sz w:val="18"/>
              </w:rPr>
              <w:t>-</w:t>
            </w:r>
          </w:p>
        </w:tc>
      </w:tr>
      <w:tr w:rsidR="00B27EDF" w14:paraId="472AC085" w14:textId="77777777">
        <w:trPr>
          <w:cantSplit/>
          <w:trHeight w:val="560"/>
        </w:trPr>
        <w:tc>
          <w:tcPr>
            <w:tcW w:w="700" w:type="dxa"/>
            <w:tcMar>
              <w:top w:w="0" w:type="dxa"/>
              <w:bottom w:w="0" w:type="dxa"/>
            </w:tcMar>
            <w:vAlign w:val="center"/>
          </w:tcPr>
          <w:p w14:paraId="17BA65FF" w14:textId="77777777" w:rsidR="00B27EDF" w:rsidRDefault="00B27EDF">
            <w:pPr>
              <w:keepNext/>
              <w:keepLines/>
              <w:spacing w:after="0" w:line="240" w:lineRule="auto"/>
            </w:pPr>
          </w:p>
        </w:tc>
        <w:tc>
          <w:tcPr>
            <w:tcW w:w="3180" w:type="dxa"/>
            <w:tcMar>
              <w:top w:w="0" w:type="dxa"/>
              <w:bottom w:w="0" w:type="dxa"/>
            </w:tcMar>
            <w:vAlign w:val="center"/>
          </w:tcPr>
          <w:p w14:paraId="64E79F62" w14:textId="77777777" w:rsidR="00B27EDF"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24DA51D6" w14:textId="77777777" w:rsidR="00B27EDF" w:rsidRDefault="00000000">
            <w:pPr>
              <w:keepNext/>
              <w:keepLines/>
              <w:spacing w:after="0" w:line="240" w:lineRule="auto"/>
            </w:pPr>
            <w:r>
              <w:rPr>
                <w:b/>
                <w:sz w:val="18"/>
              </w:rPr>
              <w:t>X003, Y003</w:t>
            </w:r>
          </w:p>
        </w:tc>
        <w:tc>
          <w:tcPr>
            <w:tcW w:w="1860" w:type="dxa"/>
            <w:tcMar>
              <w:top w:w="0" w:type="dxa"/>
              <w:bottom w:w="0" w:type="dxa"/>
            </w:tcMar>
            <w:vAlign w:val="center"/>
          </w:tcPr>
          <w:p w14:paraId="66825369" w14:textId="77777777" w:rsidR="00B27EDF" w:rsidRDefault="00000000">
            <w:pPr>
              <w:keepNext/>
              <w:keepLines/>
              <w:spacing w:after="0" w:line="240" w:lineRule="auto"/>
              <w:jc w:val="right"/>
            </w:pPr>
            <w:r>
              <w:rPr>
                <w:b/>
                <w:sz w:val="18"/>
              </w:rPr>
              <w:t>0,00</w:t>
            </w:r>
          </w:p>
        </w:tc>
        <w:tc>
          <w:tcPr>
            <w:tcW w:w="1860" w:type="dxa"/>
            <w:tcMar>
              <w:top w:w="0" w:type="dxa"/>
              <w:bottom w:w="0" w:type="dxa"/>
            </w:tcMar>
            <w:vAlign w:val="center"/>
          </w:tcPr>
          <w:p w14:paraId="30C6C6BA" w14:textId="77777777" w:rsidR="00B27EDF" w:rsidRDefault="00000000">
            <w:pPr>
              <w:keepNext/>
              <w:keepLines/>
              <w:spacing w:after="0" w:line="240" w:lineRule="auto"/>
              <w:jc w:val="right"/>
            </w:pPr>
            <w:r>
              <w:rPr>
                <w:b/>
                <w:sz w:val="18"/>
              </w:rPr>
              <w:t>0,00</w:t>
            </w:r>
          </w:p>
        </w:tc>
        <w:tc>
          <w:tcPr>
            <w:tcW w:w="700" w:type="dxa"/>
            <w:tcMar>
              <w:top w:w="0" w:type="dxa"/>
              <w:bottom w:w="0" w:type="dxa"/>
            </w:tcMar>
            <w:vAlign w:val="center"/>
          </w:tcPr>
          <w:p w14:paraId="54C29068" w14:textId="77777777" w:rsidR="00B27EDF" w:rsidRDefault="00000000">
            <w:pPr>
              <w:keepNext/>
              <w:keepLines/>
              <w:spacing w:after="0" w:line="240" w:lineRule="auto"/>
              <w:jc w:val="right"/>
            </w:pPr>
            <w:r>
              <w:rPr>
                <w:b/>
                <w:sz w:val="18"/>
              </w:rPr>
              <w:t>-</w:t>
            </w:r>
          </w:p>
        </w:tc>
      </w:tr>
      <w:tr w:rsidR="00B27EDF" w14:paraId="2CD01187" w14:textId="77777777">
        <w:trPr>
          <w:cantSplit/>
          <w:trHeight w:val="560"/>
        </w:trPr>
        <w:tc>
          <w:tcPr>
            <w:tcW w:w="700" w:type="dxa"/>
            <w:tcMar>
              <w:top w:w="0" w:type="dxa"/>
              <w:bottom w:w="0" w:type="dxa"/>
            </w:tcMar>
            <w:vAlign w:val="center"/>
          </w:tcPr>
          <w:p w14:paraId="4E2886E2" w14:textId="77777777" w:rsidR="00B27EDF" w:rsidRDefault="00B27EDF">
            <w:pPr>
              <w:keepNext/>
              <w:keepLines/>
              <w:spacing w:after="0" w:line="240" w:lineRule="auto"/>
            </w:pPr>
          </w:p>
        </w:tc>
        <w:tc>
          <w:tcPr>
            <w:tcW w:w="3180" w:type="dxa"/>
            <w:tcMar>
              <w:top w:w="0" w:type="dxa"/>
              <w:bottom w:w="0" w:type="dxa"/>
            </w:tcMar>
            <w:vAlign w:val="center"/>
          </w:tcPr>
          <w:p w14:paraId="03CB5A68" w14:textId="77777777" w:rsidR="00B27EDF"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2B57F424" w14:textId="77777777" w:rsidR="00B27EDF" w:rsidRDefault="00000000">
            <w:pPr>
              <w:keepNext/>
              <w:keepLines/>
              <w:spacing w:after="0" w:line="240" w:lineRule="auto"/>
            </w:pPr>
            <w:r>
              <w:rPr>
                <w:b/>
                <w:sz w:val="18"/>
              </w:rPr>
              <w:t>Y005</w:t>
            </w:r>
          </w:p>
        </w:tc>
        <w:tc>
          <w:tcPr>
            <w:tcW w:w="1860" w:type="dxa"/>
            <w:tcMar>
              <w:top w:w="0" w:type="dxa"/>
              <w:bottom w:w="0" w:type="dxa"/>
            </w:tcMar>
            <w:vAlign w:val="center"/>
          </w:tcPr>
          <w:p w14:paraId="683DD0EF" w14:textId="77777777" w:rsidR="00B27EDF" w:rsidRDefault="00000000">
            <w:pPr>
              <w:keepNext/>
              <w:keepLines/>
              <w:spacing w:after="0" w:line="240" w:lineRule="auto"/>
              <w:jc w:val="right"/>
            </w:pPr>
            <w:r>
              <w:rPr>
                <w:b/>
                <w:sz w:val="18"/>
              </w:rPr>
              <w:t>94.923,53</w:t>
            </w:r>
          </w:p>
        </w:tc>
        <w:tc>
          <w:tcPr>
            <w:tcW w:w="1860" w:type="dxa"/>
            <w:tcMar>
              <w:top w:w="0" w:type="dxa"/>
              <w:bottom w:w="0" w:type="dxa"/>
            </w:tcMar>
            <w:vAlign w:val="center"/>
          </w:tcPr>
          <w:p w14:paraId="26854215" w14:textId="77777777" w:rsidR="00B27EDF" w:rsidRDefault="00000000">
            <w:pPr>
              <w:keepNext/>
              <w:keepLines/>
              <w:spacing w:after="0" w:line="240" w:lineRule="auto"/>
              <w:jc w:val="right"/>
            </w:pPr>
            <w:r>
              <w:rPr>
                <w:b/>
                <w:sz w:val="18"/>
              </w:rPr>
              <w:t>102.315,03</w:t>
            </w:r>
          </w:p>
        </w:tc>
        <w:tc>
          <w:tcPr>
            <w:tcW w:w="700" w:type="dxa"/>
            <w:tcMar>
              <w:top w:w="0" w:type="dxa"/>
              <w:bottom w:w="0" w:type="dxa"/>
            </w:tcMar>
            <w:vAlign w:val="center"/>
          </w:tcPr>
          <w:p w14:paraId="6144F0A0" w14:textId="77777777" w:rsidR="00B27EDF" w:rsidRDefault="00000000">
            <w:pPr>
              <w:keepNext/>
              <w:keepLines/>
              <w:spacing w:after="0" w:line="240" w:lineRule="auto"/>
              <w:jc w:val="right"/>
            </w:pPr>
            <w:r>
              <w:rPr>
                <w:b/>
                <w:sz w:val="18"/>
              </w:rPr>
              <w:t>107,8</w:t>
            </w:r>
          </w:p>
        </w:tc>
      </w:tr>
    </w:tbl>
    <w:p w14:paraId="453D34FF" w14:textId="77777777" w:rsidR="00B27EDF" w:rsidRDefault="00B27EDF">
      <w:pPr>
        <w:spacing w:after="0"/>
      </w:pPr>
    </w:p>
    <w:p w14:paraId="5826E304" w14:textId="77777777" w:rsidR="00B27EDF" w:rsidRDefault="00000000">
      <w:r>
        <w:t>PRIHODI I PRIMICI</w:t>
      </w:r>
    </w:p>
    <w:p w14:paraId="66DFFC1F" w14:textId="77777777" w:rsidR="00B27EDF" w:rsidRDefault="00000000">
      <w:r>
        <w:t>Ostvareni prihodi poslovanja u iznosu 2.999.908,22 EUR, sastoje se od prihoda iz nadležnog proračuna u iznosu od 2.130.629,57 EUR, prihoda od pruženih usluga odnosno vlastitih prihoda u iznosu 853.771,39 EUR, tekućih pomoći u iznosu 14.566,91 EUR, te prihoda po posebnim propisima u iznosu od 940,32 EUR.</w:t>
      </w:r>
    </w:p>
    <w:p w14:paraId="39D83224" w14:textId="77777777" w:rsidR="00B27EDF" w:rsidRDefault="00000000">
      <w:r>
        <w:lastRenderedPageBreak/>
        <w:t>Prihodi iz nadležnog proračuna za financiranje poslovanja iskazani šifrom 67, bilježe rast od 22,7%, odnosno 394.878,52 EUR u odnosu na prethodnu godinu. Povećanje prihoda najvećim dijelom rezultat je rasta rashoda za zaposlene sukladno novom dodatku Kolektivnog ugovora za radnike JVP Koprivnica, koji je stupio na snagu 01.03.2024. godine te zbog povećanja broja zaposlenih.</w:t>
      </w:r>
    </w:p>
    <w:p w14:paraId="360852BD" w14:textId="77777777" w:rsidR="00B27EDF" w:rsidRDefault="00000000">
      <w:r>
        <w:t>Prihodi od pruženih usluga iskazani šifrom 6615 bilježe pad u iznosu 7,3 %, odnosno u svoti od 67.676,74 EUR. Razlog tome je kašnjenje u naplati prihoda koji su dospijevali do kraja 2025. godine, ali su naplaćeni već u siječnju 2026. godine.</w:t>
      </w:r>
    </w:p>
    <w:p w14:paraId="785AF752" w14:textId="77777777" w:rsidR="00B27EDF" w:rsidRDefault="00000000">
      <w:r>
        <w:t>Tekuće pomoći proračunskim korisnicima iz proračuna koji im nije nadležan bilježe rast u iznosu 10,9 % u odnosu na prethodnu godinu. </w:t>
      </w:r>
    </w:p>
    <w:p w14:paraId="54CEFCC0" w14:textId="77777777" w:rsidR="00B27EDF" w:rsidRDefault="00000000">
      <w:r>
        <w:t>Ostale stavke prihoda i primitaka u većim svotama ne bilježe značajna odstupanja u odnosu na prethodnu godinu.</w:t>
      </w:r>
    </w:p>
    <w:p w14:paraId="23C32440" w14:textId="77777777" w:rsidR="00B27EDF" w:rsidRDefault="00000000">
      <w:r>
        <w:t>RASHODI I IZDACI</w:t>
      </w:r>
    </w:p>
    <w:p w14:paraId="10525E34" w14:textId="77777777" w:rsidR="00B27EDF" w:rsidRDefault="00000000">
      <w:r>
        <w:t>Ukupni rashodi iznose 3.102.223,25 EUR, a sastoje se od rashoda poslovanja 3.059.749,92 EUR te rashoda za nabavu nefinancijske imovine u iznosu 42.473,33  EUR. </w:t>
      </w:r>
    </w:p>
    <w:p w14:paraId="42F4B826" w14:textId="77777777" w:rsidR="00B27EDF" w:rsidRDefault="00000000">
      <w:r>
        <w:t>Ukupni rashodi poslovanja iskazani pod šifrom 3 bilježe rast u svoti od 304.705,92 EUR odnosno za 11,1% u odnosu na prethodnu godinu.</w:t>
      </w:r>
    </w:p>
    <w:p w14:paraId="414959AE" w14:textId="77777777" w:rsidR="00B27EDF" w:rsidRDefault="00000000">
      <w:r>
        <w:t>Najveća odstupanja kod rashoda poslovanja u odnosu na prethodnu godinu bilježi povećanje skupine rashodi za zaposlene iskazani pod šifrom 31 u iznosu od 318.604,10 ili za  13% EUR. Na povećanje rashoda za zaposlene utječe povećanje broja zaposlenih u 2025. u odnosu 2024. koje iznosi 3 zaposlena. Prema Pravilniku o klasifikaciji radnih mjesta profesionalnih vatrogasaca, mjerilima za njihovo utvrđivanje i koeficijentima složenosti poslova (dalje u tekstu: Pravilnik) izmijenili su se nazivi radnih mjesta i mjerila za utvrđivanje radnih mjesta profesionalnih vatrogasaca, kao i koeficijenti složenosti poslova profesionalnih vatrogasaca. Shodno tomu od 01.ožujka 2024. godine stupio je na snagu novi Dodatak Kolektivnog ugovora za radnike JVP Koprivnica koji se uskladio s navedenim Pravilnikom, te se osnovica za obračun plaće uskladila s osnovicom za državne službenike i namještenike.</w:t>
      </w:r>
    </w:p>
    <w:p w14:paraId="360233D1" w14:textId="77777777" w:rsidR="00B27EDF" w:rsidRDefault="00000000">
      <w:r>
        <w:t>Materijalni rashodi bilježe pad od 4,1 %, odnosno za 12.120,97  EUR.</w:t>
      </w:r>
    </w:p>
    <w:p w14:paraId="0D8A96F8" w14:textId="77777777" w:rsidR="00B27EDF" w:rsidRDefault="00000000">
      <w:r>
        <w:t>U sklopu materijalnih rashoda, najveće odstupanje zabilježeno je na rashodima za sitni inventar i auto gume u iznosu od 4.679,56 EUR ili za 31,3%.</w:t>
      </w:r>
    </w:p>
    <w:p w14:paraId="18CE6ADC" w14:textId="77777777" w:rsidR="00B27EDF" w:rsidRDefault="00000000">
      <w:r>
        <w:t>Rashodi za usluge smanjeni su za 2,6% ili za 2.483,31 EUR. Najveći utjecaj na smanjenje rashoda u navedenoj podskupini  ima pad rashoda za usluge tekućeg i investicijskog održavanja u iznosu od 7.020,84 EUR ili za 13,9% u odnosu na prethodnu godinu kada su u ovoj kategoriji zabilježeni značajniji troškovi zbog rekonstrukcije toplovodnog grijanja upravne zgrade JVP Koprivnica.</w:t>
      </w:r>
    </w:p>
    <w:p w14:paraId="41E62754" w14:textId="77777777" w:rsidR="00B27EDF" w:rsidRDefault="00000000">
      <w:r>
        <w:t>Rashodi za nabavu nefinancijske imovine bilježe povećanje u iznosu od 29.213,70 EUR ili za 220,3% u odnosu na prethodnu godinu. U 2024. godini nabavljeno je: računalna oprema, uređaj za napajanje, oprema za dišne aparate, komunikacijski uređaji i agregat.</w:t>
      </w:r>
    </w:p>
    <w:p w14:paraId="357F9E34" w14:textId="77777777" w:rsidR="00B27EDF" w:rsidRDefault="00000000">
      <w:r>
        <w:lastRenderedPageBreak/>
        <w:t>Ostale stavke rashoda i izdataka u većim svotama ne bilježe značajna odstupanja.</w:t>
      </w:r>
    </w:p>
    <w:p w14:paraId="7BE4FED0" w14:textId="77777777" w:rsidR="00B27EDF" w:rsidRDefault="00000000">
      <w:r>
        <w:t>REZULTAT POSLOVANJA</w:t>
      </w:r>
    </w:p>
    <w:p w14:paraId="1B106E2C" w14:textId="3596D8AF" w:rsidR="00B27EDF" w:rsidRDefault="00000000">
      <w:r>
        <w:t>Manjak prihoda poslovanja za 2025. godinu iznosi 102.315,03 EUR, dok manjak prihoda iz prethodne godine iznosi 94.923,53  EUR, odnosno kumulirani manjak iz prethodnih razdoblja iznosi 105.19</w:t>
      </w:r>
      <w:r w:rsidR="00CD128A">
        <w:t>5</w:t>
      </w:r>
      <w:r>
        <w:t>,</w:t>
      </w:r>
      <w:r w:rsidR="00CD128A">
        <w:t>23</w:t>
      </w:r>
      <w:r>
        <w:t xml:space="preserve"> EUR.</w:t>
      </w:r>
    </w:p>
    <w:p w14:paraId="605F4428" w14:textId="38B9C0C7" w:rsidR="00B27EDF" w:rsidRDefault="00000000">
      <w:r>
        <w:t>Prema tom</w:t>
      </w:r>
      <w:r w:rsidR="00805676">
        <w:t>e,</w:t>
      </w:r>
      <w:r>
        <w:t xml:space="preserve"> manjak prihoda poslovanja koji se prenosi u sljedeće razdoblje iznosi  207.510,26  EUR.</w:t>
      </w:r>
    </w:p>
    <w:p w14:paraId="41C698E2" w14:textId="77777777" w:rsidR="00B27EDF" w:rsidRDefault="00000000">
      <w:r>
        <w:t>Manjak prihoda za 2025. godinu najvećim dijelom proizašao je zbog odgođene naplate prihoda.</w:t>
      </w:r>
    </w:p>
    <w:p w14:paraId="7AE3F495" w14:textId="77777777" w:rsidR="00B27EDF" w:rsidRDefault="00000000">
      <w:r>
        <w:t> </w:t>
      </w:r>
    </w:p>
    <w:p w14:paraId="162AFA35" w14:textId="77777777" w:rsidR="00B27EDF" w:rsidRDefault="00000000">
      <w:r>
        <w:br/>
      </w:r>
    </w:p>
    <w:p w14:paraId="09CD8352" w14:textId="77777777" w:rsidR="00B27EDF"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27EDF" w14:paraId="22381AD4" w14:textId="77777777">
        <w:trPr>
          <w:cantSplit/>
        </w:trPr>
        <w:tc>
          <w:tcPr>
            <w:tcW w:w="700" w:type="dxa"/>
            <w:shd w:val="clear" w:color="auto" w:fill="E7F0F9"/>
            <w:tcMar>
              <w:top w:w="0" w:type="dxa"/>
              <w:bottom w:w="0" w:type="dxa"/>
            </w:tcMar>
            <w:vAlign w:val="center"/>
          </w:tcPr>
          <w:p w14:paraId="2C339FE1" w14:textId="77777777" w:rsidR="00B27ED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895254" w14:textId="77777777" w:rsidR="00B27ED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284751" w14:textId="77777777" w:rsidR="00B27ED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44D05B" w14:textId="77777777" w:rsidR="00B27ED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FA1C69" w14:textId="77777777" w:rsidR="00B27ED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20AA76" w14:textId="77777777" w:rsidR="00B27EDF" w:rsidRDefault="00000000">
            <w:pPr>
              <w:keepNext/>
              <w:keepLines/>
              <w:spacing w:after="0" w:line="240" w:lineRule="auto"/>
              <w:jc w:val="center"/>
            </w:pPr>
            <w:r>
              <w:rPr>
                <w:b/>
                <w:sz w:val="18"/>
              </w:rPr>
              <w:t>Indeks (%)</w:t>
            </w:r>
          </w:p>
        </w:tc>
      </w:tr>
      <w:tr w:rsidR="00B27EDF" w14:paraId="02FB8765" w14:textId="77777777">
        <w:trPr>
          <w:cantSplit/>
          <w:trHeight w:val="560"/>
        </w:trPr>
        <w:tc>
          <w:tcPr>
            <w:tcW w:w="700" w:type="dxa"/>
            <w:tcMar>
              <w:top w:w="0" w:type="dxa"/>
              <w:bottom w:w="0" w:type="dxa"/>
            </w:tcMar>
            <w:vAlign w:val="center"/>
          </w:tcPr>
          <w:p w14:paraId="5D6A0610" w14:textId="77777777" w:rsidR="00B27EDF" w:rsidRDefault="00000000">
            <w:pPr>
              <w:keepNext/>
              <w:keepLines/>
              <w:spacing w:after="0" w:line="240" w:lineRule="auto"/>
            </w:pPr>
            <w:r>
              <w:rPr>
                <w:sz w:val="18"/>
              </w:rPr>
              <w:t>6</w:t>
            </w:r>
          </w:p>
        </w:tc>
        <w:tc>
          <w:tcPr>
            <w:tcW w:w="3180" w:type="dxa"/>
            <w:tcMar>
              <w:top w:w="0" w:type="dxa"/>
              <w:bottom w:w="0" w:type="dxa"/>
            </w:tcMar>
            <w:vAlign w:val="center"/>
          </w:tcPr>
          <w:p w14:paraId="477785DA" w14:textId="77777777" w:rsidR="00B27EDF"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F56E791" w14:textId="77777777" w:rsidR="00B27EDF" w:rsidRDefault="00000000">
            <w:pPr>
              <w:keepNext/>
              <w:keepLines/>
              <w:spacing w:after="0" w:line="240" w:lineRule="auto"/>
            </w:pPr>
            <w:r>
              <w:rPr>
                <w:sz w:val="18"/>
              </w:rPr>
              <w:t>6</w:t>
            </w:r>
          </w:p>
        </w:tc>
        <w:tc>
          <w:tcPr>
            <w:tcW w:w="1860" w:type="dxa"/>
            <w:tcMar>
              <w:top w:w="0" w:type="dxa"/>
              <w:bottom w:w="0" w:type="dxa"/>
            </w:tcMar>
            <w:vAlign w:val="center"/>
          </w:tcPr>
          <w:p w14:paraId="53FE8AAE" w14:textId="77777777" w:rsidR="00B27EDF" w:rsidRDefault="00000000">
            <w:pPr>
              <w:keepNext/>
              <w:keepLines/>
              <w:spacing w:after="0" w:line="240" w:lineRule="auto"/>
              <w:jc w:val="right"/>
            </w:pPr>
            <w:r>
              <w:rPr>
                <w:sz w:val="18"/>
              </w:rPr>
              <w:t>2.673.380,10</w:t>
            </w:r>
          </w:p>
        </w:tc>
        <w:tc>
          <w:tcPr>
            <w:tcW w:w="1860" w:type="dxa"/>
            <w:tcMar>
              <w:top w:w="0" w:type="dxa"/>
              <w:bottom w:w="0" w:type="dxa"/>
            </w:tcMar>
            <w:vAlign w:val="center"/>
          </w:tcPr>
          <w:p w14:paraId="671B095A" w14:textId="77777777" w:rsidR="00B27EDF" w:rsidRDefault="00000000">
            <w:pPr>
              <w:keepNext/>
              <w:keepLines/>
              <w:spacing w:after="0" w:line="240" w:lineRule="auto"/>
              <w:jc w:val="right"/>
            </w:pPr>
            <w:r>
              <w:rPr>
                <w:sz w:val="18"/>
              </w:rPr>
              <w:t>2.999.908,22</w:t>
            </w:r>
          </w:p>
        </w:tc>
        <w:tc>
          <w:tcPr>
            <w:tcW w:w="700" w:type="dxa"/>
            <w:tcMar>
              <w:top w:w="0" w:type="dxa"/>
              <w:bottom w:w="0" w:type="dxa"/>
            </w:tcMar>
            <w:vAlign w:val="center"/>
          </w:tcPr>
          <w:p w14:paraId="1342C13A" w14:textId="77777777" w:rsidR="00B27EDF" w:rsidRDefault="00000000">
            <w:pPr>
              <w:keepNext/>
              <w:keepLines/>
              <w:spacing w:after="0" w:line="240" w:lineRule="auto"/>
              <w:jc w:val="right"/>
            </w:pPr>
            <w:r>
              <w:rPr>
                <w:sz w:val="18"/>
              </w:rPr>
              <w:t>112,2</w:t>
            </w:r>
          </w:p>
        </w:tc>
      </w:tr>
    </w:tbl>
    <w:p w14:paraId="0685DF73" w14:textId="77777777" w:rsidR="00B27EDF" w:rsidRDefault="00B27EDF">
      <w:pPr>
        <w:spacing w:after="0"/>
      </w:pPr>
    </w:p>
    <w:p w14:paraId="58D9E345" w14:textId="77777777" w:rsidR="00B27EDF" w:rsidRDefault="00000000">
      <w:r>
        <w:t>Ostvareni prihodi poslovanja u iznosu 2.999.908,22 EUR, sastoje se od prihoda iz nadležnog proračuna u iznosu od 2.130.629,57 EUR, prihoda od pruženih usluga odnosno vlastitih prihoda u iznosu 853.771,39 EUR, tekućih pomoći u iznosu 14.566,91 EUR, te prihoda po posebnim propisima u iznosu od 940,32 EUR.</w:t>
      </w:r>
    </w:p>
    <w:p w14:paraId="39F0AA25" w14:textId="77777777" w:rsidR="00B27EDF" w:rsidRDefault="00000000">
      <w:r>
        <w:t>Prihodi iz nadležnog proračuna za financiranje poslovanja iskazani šifrom 67, bilježe rast od 22,7%, odnosno 394.878,52 EUR u odnosu na prethodnu godinu. Povećanje prihoda najvećim dijelom rezultat je rasta rashoda za zaposlene sukladno novom dodatku Kolektivnog ugovora za radnike JVP Koprivnica, koji je stupio na snagu 01.03.2024. godine te zbog povećanja broja zaposlenih.</w:t>
      </w:r>
    </w:p>
    <w:p w14:paraId="60BC210F" w14:textId="77777777" w:rsidR="00B27EDF" w:rsidRDefault="00000000">
      <w:r>
        <w:t>Prihodi od pruženih usluga iskazani šifrom 6615 bilježe pad u iznosu 7,3 %, odnosno u svoti od 67.676,74 EUR. Razlog tome je kašnjenje u naplati prihoda koji su dospijevali do kraja 2025. godine, ali su naplaćeni već u siječnju 2026. godine.</w:t>
      </w:r>
    </w:p>
    <w:p w14:paraId="2C4D3190" w14:textId="77777777" w:rsidR="00B27EDF" w:rsidRDefault="00000000">
      <w:r>
        <w:t>Tekuće pomoći proračunskim korisnicima iz proračuna koji im nije nadležan bilježe rast u iznosu 10,9 % u odnosu na prethodnu godinu. </w:t>
      </w:r>
    </w:p>
    <w:p w14:paraId="2873377B" w14:textId="77777777" w:rsidR="00B27EDF" w:rsidRDefault="00000000">
      <w:r>
        <w:t>Ostale stavke prihoda i primitaka u većim svotama ne bilježe značajna odstupanja u odnosu na prethodnu godinu.</w:t>
      </w:r>
    </w:p>
    <w:p w14:paraId="67243F2D" w14:textId="77777777" w:rsidR="00B27EDF" w:rsidRDefault="00B27EDF"/>
    <w:p w14:paraId="749884D9" w14:textId="77777777" w:rsidR="00B27EDF" w:rsidRDefault="00000000">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27EDF" w14:paraId="5BC27E54" w14:textId="77777777">
        <w:trPr>
          <w:cantSplit/>
        </w:trPr>
        <w:tc>
          <w:tcPr>
            <w:tcW w:w="700" w:type="dxa"/>
            <w:shd w:val="clear" w:color="auto" w:fill="E7F0F9"/>
            <w:tcMar>
              <w:top w:w="0" w:type="dxa"/>
              <w:bottom w:w="0" w:type="dxa"/>
            </w:tcMar>
            <w:vAlign w:val="center"/>
          </w:tcPr>
          <w:p w14:paraId="1A2D816E" w14:textId="77777777" w:rsidR="00B27ED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CB1188" w14:textId="77777777" w:rsidR="00B27ED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6C6D91" w14:textId="77777777" w:rsidR="00B27ED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B42160" w14:textId="77777777" w:rsidR="00B27ED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714794" w14:textId="77777777" w:rsidR="00B27ED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D3BB3A" w14:textId="77777777" w:rsidR="00B27EDF" w:rsidRDefault="00000000">
            <w:pPr>
              <w:keepNext/>
              <w:keepLines/>
              <w:spacing w:after="0" w:line="240" w:lineRule="auto"/>
              <w:jc w:val="center"/>
            </w:pPr>
            <w:r>
              <w:rPr>
                <w:b/>
                <w:sz w:val="18"/>
              </w:rPr>
              <w:t>Indeks (%)</w:t>
            </w:r>
          </w:p>
        </w:tc>
      </w:tr>
      <w:tr w:rsidR="00B27EDF" w14:paraId="769FEEFB" w14:textId="77777777">
        <w:trPr>
          <w:cantSplit/>
          <w:trHeight w:val="560"/>
        </w:trPr>
        <w:tc>
          <w:tcPr>
            <w:tcW w:w="700" w:type="dxa"/>
            <w:tcMar>
              <w:top w:w="0" w:type="dxa"/>
              <w:bottom w:w="0" w:type="dxa"/>
            </w:tcMar>
            <w:vAlign w:val="center"/>
          </w:tcPr>
          <w:p w14:paraId="4F7549AF" w14:textId="77777777" w:rsidR="00B27EDF" w:rsidRDefault="00000000">
            <w:pPr>
              <w:keepNext/>
              <w:keepLines/>
              <w:spacing w:after="0" w:line="240" w:lineRule="auto"/>
            </w:pPr>
            <w:r>
              <w:rPr>
                <w:sz w:val="18"/>
              </w:rPr>
              <w:t>3</w:t>
            </w:r>
          </w:p>
        </w:tc>
        <w:tc>
          <w:tcPr>
            <w:tcW w:w="3180" w:type="dxa"/>
            <w:tcMar>
              <w:top w:w="0" w:type="dxa"/>
              <w:bottom w:w="0" w:type="dxa"/>
            </w:tcMar>
            <w:vAlign w:val="center"/>
          </w:tcPr>
          <w:p w14:paraId="6198B15D" w14:textId="77777777" w:rsidR="00B27EDF"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9D9211D" w14:textId="77777777" w:rsidR="00B27EDF" w:rsidRDefault="00000000">
            <w:pPr>
              <w:keepNext/>
              <w:keepLines/>
              <w:spacing w:after="0" w:line="240" w:lineRule="auto"/>
            </w:pPr>
            <w:r>
              <w:rPr>
                <w:sz w:val="18"/>
              </w:rPr>
              <w:t>3</w:t>
            </w:r>
          </w:p>
        </w:tc>
        <w:tc>
          <w:tcPr>
            <w:tcW w:w="1860" w:type="dxa"/>
            <w:tcMar>
              <w:top w:w="0" w:type="dxa"/>
              <w:bottom w:w="0" w:type="dxa"/>
            </w:tcMar>
            <w:vAlign w:val="center"/>
          </w:tcPr>
          <w:p w14:paraId="59D837B1" w14:textId="77777777" w:rsidR="00B27EDF" w:rsidRDefault="00000000">
            <w:pPr>
              <w:keepNext/>
              <w:keepLines/>
              <w:spacing w:after="0" w:line="240" w:lineRule="auto"/>
              <w:jc w:val="right"/>
            </w:pPr>
            <w:r>
              <w:rPr>
                <w:sz w:val="18"/>
              </w:rPr>
              <w:t>2.755.044,00</w:t>
            </w:r>
          </w:p>
        </w:tc>
        <w:tc>
          <w:tcPr>
            <w:tcW w:w="1860" w:type="dxa"/>
            <w:tcMar>
              <w:top w:w="0" w:type="dxa"/>
              <w:bottom w:w="0" w:type="dxa"/>
            </w:tcMar>
            <w:vAlign w:val="center"/>
          </w:tcPr>
          <w:p w14:paraId="56DD5931" w14:textId="77777777" w:rsidR="00B27EDF" w:rsidRDefault="00000000">
            <w:pPr>
              <w:keepNext/>
              <w:keepLines/>
              <w:spacing w:after="0" w:line="240" w:lineRule="auto"/>
              <w:jc w:val="right"/>
            </w:pPr>
            <w:r>
              <w:rPr>
                <w:sz w:val="18"/>
              </w:rPr>
              <w:t>3.059.749,92</w:t>
            </w:r>
          </w:p>
        </w:tc>
        <w:tc>
          <w:tcPr>
            <w:tcW w:w="700" w:type="dxa"/>
            <w:tcMar>
              <w:top w:w="0" w:type="dxa"/>
              <w:bottom w:w="0" w:type="dxa"/>
            </w:tcMar>
            <w:vAlign w:val="center"/>
          </w:tcPr>
          <w:p w14:paraId="04B3891E" w14:textId="77777777" w:rsidR="00B27EDF" w:rsidRDefault="00000000">
            <w:pPr>
              <w:keepNext/>
              <w:keepLines/>
              <w:spacing w:after="0" w:line="240" w:lineRule="auto"/>
              <w:jc w:val="right"/>
            </w:pPr>
            <w:r>
              <w:rPr>
                <w:sz w:val="18"/>
              </w:rPr>
              <w:t>111,1</w:t>
            </w:r>
          </w:p>
        </w:tc>
      </w:tr>
    </w:tbl>
    <w:p w14:paraId="709FFE07" w14:textId="77777777" w:rsidR="00B27EDF" w:rsidRDefault="00B27EDF">
      <w:pPr>
        <w:spacing w:after="0"/>
      </w:pPr>
    </w:p>
    <w:p w14:paraId="44E153A5" w14:textId="77777777" w:rsidR="00B27EDF" w:rsidRDefault="00000000">
      <w:r>
        <w:t>Ukupni rashodi poslovanja iskazani pod šifrom 3 bilježe rast u svoti od 304.705,92 EUR odnosno za 11,1% u odnosu na prethodnu godinu.</w:t>
      </w:r>
    </w:p>
    <w:p w14:paraId="1352B996" w14:textId="77777777" w:rsidR="00B27EDF" w:rsidRDefault="00000000">
      <w:r>
        <w:t>Najveća odstupanja kod rashoda poslovanja u odnosu na prethodnu godinu bilježi povećanje skupine rashodi za zaposlene iskazani pod šifrom 31 u iznosu od 318.604,10 ili za  13% EUR. Na povećanje rashoda za zaposlene utječe povećanje broja zaposlenih u 2025. u odnosu 2024. koje iznosi 3 zaposlena. Prema Pravilniku o klasifikaciji radnih mjesta profesionalnih vatrogasaca, mjerilima za njihovo utvrđivanje i koeficijentima složenosti poslova (dalje u tekstu: Pravilnik) izmijenili su se nazivi radnih mjesta i mjerila za utvrđivanje radnih mjesta profesionalnih vatrogasaca, kao i koeficijenti složenosti poslova profesionalnih vatrogasaca. Shodno tomu od 01.ožujka 2024. godine stupio je na snagu novi Dodatak Kolektivnog ugovora za radnike JVP Koprivnica koji se uskladio s navedenim Pravilnikom, te se osnovica za obračun plaće uskladila s osnovicom za državne službenike i namještenike.</w:t>
      </w:r>
    </w:p>
    <w:p w14:paraId="67A65E65" w14:textId="77777777" w:rsidR="00B27EDF" w:rsidRDefault="00000000">
      <w:r>
        <w:t>Materijalni rashodi bilježe pad od 4,1 %, odnosno za 12.120,97  EUR.</w:t>
      </w:r>
    </w:p>
    <w:p w14:paraId="74803DA7" w14:textId="77777777" w:rsidR="00B27EDF" w:rsidRDefault="00000000">
      <w:r>
        <w:t>U sklopu materijalnih rashoda, najveće odstupanje zabilježeno je na rashodima za sitni inventar i auto gume u iznosu od 4.679,56 EUR ili za 31,3%.</w:t>
      </w:r>
    </w:p>
    <w:p w14:paraId="76CA1E42" w14:textId="77777777" w:rsidR="00B27EDF" w:rsidRDefault="00000000">
      <w:r>
        <w:t>Rashodi za usluge smanjeni su za 2,6% ili za 2.483,31 EUR. Najveći utjecaj na smanjenje rashoda u navedenoj podskupini  ima pad rashoda za usluge tekućeg i investicijskog održavanja u iznosu od 7.020,84 EUR ili za 13,9% u odnosu na prethodnu godinu kada su u ovoj kategoriji zabilježeni značajniji troškovi zbog rekonstrukcije toplovodnog grijanja upravne zgrade JVP Koprivnica.</w:t>
      </w:r>
    </w:p>
    <w:p w14:paraId="42F7CE13" w14:textId="77777777" w:rsidR="00B27EDF" w:rsidRDefault="00B27EDF"/>
    <w:p w14:paraId="37A991BC" w14:textId="77777777" w:rsidR="00B27EDF"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27EDF" w14:paraId="3F04ED49" w14:textId="77777777">
        <w:trPr>
          <w:cantSplit/>
        </w:trPr>
        <w:tc>
          <w:tcPr>
            <w:tcW w:w="700" w:type="dxa"/>
            <w:shd w:val="clear" w:color="auto" w:fill="E7F0F9"/>
            <w:tcMar>
              <w:top w:w="0" w:type="dxa"/>
              <w:bottom w:w="0" w:type="dxa"/>
            </w:tcMar>
            <w:vAlign w:val="center"/>
          </w:tcPr>
          <w:p w14:paraId="7F48A32C" w14:textId="77777777" w:rsidR="00B27ED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A8D2EF" w14:textId="77777777" w:rsidR="00B27ED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B0EFB9" w14:textId="77777777" w:rsidR="00B27ED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E937F8" w14:textId="77777777" w:rsidR="00B27ED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14DB90" w14:textId="77777777" w:rsidR="00B27ED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38258B" w14:textId="77777777" w:rsidR="00B27EDF" w:rsidRDefault="00000000">
            <w:pPr>
              <w:keepNext/>
              <w:keepLines/>
              <w:spacing w:after="0" w:line="240" w:lineRule="auto"/>
              <w:jc w:val="center"/>
            </w:pPr>
            <w:r>
              <w:rPr>
                <w:b/>
                <w:sz w:val="18"/>
              </w:rPr>
              <w:t>Indeks (%)</w:t>
            </w:r>
          </w:p>
        </w:tc>
      </w:tr>
      <w:tr w:rsidR="00B27EDF" w14:paraId="00C24D1C" w14:textId="77777777">
        <w:trPr>
          <w:cantSplit/>
          <w:trHeight w:val="560"/>
        </w:trPr>
        <w:tc>
          <w:tcPr>
            <w:tcW w:w="700" w:type="dxa"/>
            <w:tcMar>
              <w:top w:w="0" w:type="dxa"/>
              <w:bottom w:w="0" w:type="dxa"/>
            </w:tcMar>
            <w:vAlign w:val="center"/>
          </w:tcPr>
          <w:p w14:paraId="3B0FCE4F" w14:textId="77777777" w:rsidR="00B27EDF" w:rsidRDefault="00000000">
            <w:pPr>
              <w:keepNext/>
              <w:keepLines/>
              <w:spacing w:after="0" w:line="240" w:lineRule="auto"/>
            </w:pPr>
            <w:r>
              <w:rPr>
                <w:sz w:val="18"/>
              </w:rPr>
              <w:t>4</w:t>
            </w:r>
          </w:p>
        </w:tc>
        <w:tc>
          <w:tcPr>
            <w:tcW w:w="3180" w:type="dxa"/>
            <w:tcMar>
              <w:top w:w="0" w:type="dxa"/>
              <w:bottom w:w="0" w:type="dxa"/>
            </w:tcMar>
            <w:vAlign w:val="center"/>
          </w:tcPr>
          <w:p w14:paraId="686A6D6F" w14:textId="77777777" w:rsidR="00B27EDF"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5F53921" w14:textId="77777777" w:rsidR="00B27EDF" w:rsidRDefault="00000000">
            <w:pPr>
              <w:keepNext/>
              <w:keepLines/>
              <w:spacing w:after="0" w:line="240" w:lineRule="auto"/>
            </w:pPr>
            <w:r>
              <w:rPr>
                <w:sz w:val="18"/>
              </w:rPr>
              <w:t>4</w:t>
            </w:r>
          </w:p>
        </w:tc>
        <w:tc>
          <w:tcPr>
            <w:tcW w:w="1860" w:type="dxa"/>
            <w:tcMar>
              <w:top w:w="0" w:type="dxa"/>
              <w:bottom w:w="0" w:type="dxa"/>
            </w:tcMar>
            <w:vAlign w:val="center"/>
          </w:tcPr>
          <w:p w14:paraId="3B9D7FDB" w14:textId="77777777" w:rsidR="00B27EDF" w:rsidRDefault="00000000">
            <w:pPr>
              <w:keepNext/>
              <w:keepLines/>
              <w:spacing w:after="0" w:line="240" w:lineRule="auto"/>
              <w:jc w:val="right"/>
            </w:pPr>
            <w:r>
              <w:rPr>
                <w:sz w:val="18"/>
              </w:rPr>
              <w:t>13.259,63</w:t>
            </w:r>
          </w:p>
        </w:tc>
        <w:tc>
          <w:tcPr>
            <w:tcW w:w="1860" w:type="dxa"/>
            <w:tcMar>
              <w:top w:w="0" w:type="dxa"/>
              <w:bottom w:w="0" w:type="dxa"/>
            </w:tcMar>
            <w:vAlign w:val="center"/>
          </w:tcPr>
          <w:p w14:paraId="243EB85F" w14:textId="77777777" w:rsidR="00B27EDF" w:rsidRDefault="00000000">
            <w:pPr>
              <w:keepNext/>
              <w:keepLines/>
              <w:spacing w:after="0" w:line="240" w:lineRule="auto"/>
              <w:jc w:val="right"/>
            </w:pPr>
            <w:r>
              <w:rPr>
                <w:sz w:val="18"/>
              </w:rPr>
              <w:t>42.473,33</w:t>
            </w:r>
          </w:p>
        </w:tc>
        <w:tc>
          <w:tcPr>
            <w:tcW w:w="700" w:type="dxa"/>
            <w:tcMar>
              <w:top w:w="0" w:type="dxa"/>
              <w:bottom w:w="0" w:type="dxa"/>
            </w:tcMar>
            <w:vAlign w:val="center"/>
          </w:tcPr>
          <w:p w14:paraId="1533D6C0" w14:textId="77777777" w:rsidR="00B27EDF" w:rsidRDefault="00000000">
            <w:pPr>
              <w:keepNext/>
              <w:keepLines/>
              <w:spacing w:after="0" w:line="240" w:lineRule="auto"/>
              <w:jc w:val="right"/>
            </w:pPr>
            <w:r>
              <w:rPr>
                <w:sz w:val="18"/>
              </w:rPr>
              <w:t>320,3</w:t>
            </w:r>
          </w:p>
        </w:tc>
      </w:tr>
    </w:tbl>
    <w:p w14:paraId="3914D7FB" w14:textId="77777777" w:rsidR="00B27EDF" w:rsidRDefault="00B27EDF">
      <w:pPr>
        <w:spacing w:after="0"/>
      </w:pPr>
    </w:p>
    <w:p w14:paraId="6FAE837C" w14:textId="77777777" w:rsidR="00B27EDF" w:rsidRDefault="00000000">
      <w:r>
        <w:t>Rashodi za nabavu nefinancijske imovine bilježe povećanje u iznosu od 29.213,70 EUR ili za 220,3% u odnosu na prethodnu godinu. U 2024. godini nabavljeno je: računalna oprema, uređaj za napajanje, oprema za dišne aparate, komunikacijski uređaji i agregat.</w:t>
      </w:r>
    </w:p>
    <w:p w14:paraId="14F72668" w14:textId="77777777" w:rsidR="00B27EDF" w:rsidRDefault="00000000">
      <w:r>
        <w:t>Ostale stavke izdataka u većim svotama ne bilježe značajna odstupanja.</w:t>
      </w:r>
    </w:p>
    <w:p w14:paraId="68892F15" w14:textId="77777777" w:rsidR="00B27EDF" w:rsidRDefault="00B27EDF"/>
    <w:p w14:paraId="71E02785" w14:textId="77777777" w:rsidR="00B27EDF" w:rsidRDefault="00000000">
      <w:pPr>
        <w:keepNext/>
        <w:spacing w:line="240" w:lineRule="auto"/>
        <w:jc w:val="center"/>
      </w:pPr>
      <w:r>
        <w:rPr>
          <w:b/>
          <w:sz w:val="28"/>
        </w:rPr>
        <w:lastRenderedPageBreak/>
        <w:t>Bilanca</w:t>
      </w:r>
    </w:p>
    <w:p w14:paraId="3F5912ED" w14:textId="77777777" w:rsidR="00B27EDF"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27EDF" w14:paraId="48509F3D" w14:textId="77777777">
        <w:trPr>
          <w:cantSplit/>
        </w:trPr>
        <w:tc>
          <w:tcPr>
            <w:tcW w:w="700" w:type="dxa"/>
            <w:shd w:val="clear" w:color="auto" w:fill="E7F0F9"/>
            <w:tcMar>
              <w:top w:w="0" w:type="dxa"/>
              <w:bottom w:w="0" w:type="dxa"/>
            </w:tcMar>
            <w:vAlign w:val="center"/>
          </w:tcPr>
          <w:p w14:paraId="5737E071" w14:textId="77777777" w:rsidR="00B27ED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AA40CB" w14:textId="77777777" w:rsidR="00B27ED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847B3F" w14:textId="77777777" w:rsidR="00B27ED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78EF03" w14:textId="77777777" w:rsidR="00B27ED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27618BD" w14:textId="77777777" w:rsidR="00B27ED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79FCB8C" w14:textId="77777777" w:rsidR="00B27EDF" w:rsidRDefault="00000000">
            <w:pPr>
              <w:keepNext/>
              <w:keepLines/>
              <w:spacing w:after="0" w:line="240" w:lineRule="auto"/>
              <w:jc w:val="center"/>
            </w:pPr>
            <w:r>
              <w:rPr>
                <w:b/>
                <w:sz w:val="18"/>
              </w:rPr>
              <w:t>Indeks (%)</w:t>
            </w:r>
          </w:p>
        </w:tc>
      </w:tr>
      <w:tr w:rsidR="00B27EDF" w14:paraId="4D234E67" w14:textId="77777777">
        <w:trPr>
          <w:cantSplit/>
          <w:trHeight w:val="560"/>
        </w:trPr>
        <w:tc>
          <w:tcPr>
            <w:tcW w:w="700" w:type="dxa"/>
            <w:tcMar>
              <w:top w:w="0" w:type="dxa"/>
              <w:bottom w:w="0" w:type="dxa"/>
            </w:tcMar>
            <w:vAlign w:val="center"/>
          </w:tcPr>
          <w:p w14:paraId="57F9B7DB" w14:textId="77777777" w:rsidR="00B27EDF" w:rsidRDefault="00B27EDF">
            <w:pPr>
              <w:keepNext/>
              <w:keepLines/>
              <w:spacing w:after="0" w:line="240" w:lineRule="auto"/>
            </w:pPr>
          </w:p>
        </w:tc>
        <w:tc>
          <w:tcPr>
            <w:tcW w:w="3180" w:type="dxa"/>
            <w:tcMar>
              <w:top w:w="0" w:type="dxa"/>
              <w:bottom w:w="0" w:type="dxa"/>
            </w:tcMar>
            <w:vAlign w:val="center"/>
          </w:tcPr>
          <w:p w14:paraId="220F3E74" w14:textId="77777777" w:rsidR="00B27EDF" w:rsidRDefault="00000000">
            <w:pPr>
              <w:keepNext/>
              <w:keepLines/>
              <w:spacing w:after="0" w:line="240" w:lineRule="auto"/>
            </w:pPr>
            <w:r>
              <w:rPr>
                <w:sz w:val="18"/>
              </w:rPr>
              <w:t>IMOVINA (šifre B002+1)</w:t>
            </w:r>
          </w:p>
        </w:tc>
        <w:tc>
          <w:tcPr>
            <w:tcW w:w="700" w:type="dxa"/>
            <w:tcMar>
              <w:top w:w="0" w:type="dxa"/>
              <w:bottom w:w="0" w:type="dxa"/>
            </w:tcMar>
            <w:vAlign w:val="center"/>
          </w:tcPr>
          <w:p w14:paraId="3DDB9F37" w14:textId="77777777" w:rsidR="00B27EDF" w:rsidRDefault="00000000">
            <w:pPr>
              <w:keepNext/>
              <w:keepLines/>
              <w:spacing w:after="0" w:line="240" w:lineRule="auto"/>
            </w:pPr>
            <w:r>
              <w:rPr>
                <w:sz w:val="18"/>
              </w:rPr>
              <w:t>B001</w:t>
            </w:r>
          </w:p>
        </w:tc>
        <w:tc>
          <w:tcPr>
            <w:tcW w:w="1860" w:type="dxa"/>
            <w:tcMar>
              <w:top w:w="0" w:type="dxa"/>
              <w:bottom w:w="0" w:type="dxa"/>
            </w:tcMar>
            <w:vAlign w:val="center"/>
          </w:tcPr>
          <w:p w14:paraId="2D77C7DD" w14:textId="77777777" w:rsidR="00B27EDF" w:rsidRDefault="00000000">
            <w:pPr>
              <w:keepNext/>
              <w:keepLines/>
              <w:spacing w:after="0" w:line="240" w:lineRule="auto"/>
              <w:jc w:val="right"/>
            </w:pPr>
            <w:r>
              <w:rPr>
                <w:sz w:val="18"/>
              </w:rPr>
              <w:t>734.769,70</w:t>
            </w:r>
          </w:p>
        </w:tc>
        <w:tc>
          <w:tcPr>
            <w:tcW w:w="1860" w:type="dxa"/>
            <w:tcMar>
              <w:top w:w="0" w:type="dxa"/>
              <w:bottom w:w="0" w:type="dxa"/>
            </w:tcMar>
            <w:vAlign w:val="center"/>
          </w:tcPr>
          <w:p w14:paraId="673B3CAE" w14:textId="77777777" w:rsidR="00B27EDF" w:rsidRDefault="00000000">
            <w:pPr>
              <w:keepNext/>
              <w:keepLines/>
              <w:spacing w:after="0" w:line="240" w:lineRule="auto"/>
              <w:jc w:val="right"/>
            </w:pPr>
            <w:r>
              <w:rPr>
                <w:sz w:val="18"/>
              </w:rPr>
              <w:t>697.238,24</w:t>
            </w:r>
          </w:p>
        </w:tc>
        <w:tc>
          <w:tcPr>
            <w:tcW w:w="700" w:type="dxa"/>
            <w:tcMar>
              <w:top w:w="0" w:type="dxa"/>
              <w:bottom w:w="0" w:type="dxa"/>
            </w:tcMar>
            <w:vAlign w:val="center"/>
          </w:tcPr>
          <w:p w14:paraId="6693BF6B" w14:textId="77777777" w:rsidR="00B27EDF" w:rsidRDefault="00000000">
            <w:pPr>
              <w:keepNext/>
              <w:keepLines/>
              <w:spacing w:after="0" w:line="240" w:lineRule="auto"/>
              <w:jc w:val="right"/>
            </w:pPr>
            <w:r>
              <w:rPr>
                <w:sz w:val="18"/>
              </w:rPr>
              <w:t>94,9</w:t>
            </w:r>
          </w:p>
        </w:tc>
      </w:tr>
    </w:tbl>
    <w:p w14:paraId="5E8399C9" w14:textId="77777777" w:rsidR="00B27EDF" w:rsidRDefault="00B27EDF">
      <w:pPr>
        <w:spacing w:after="0"/>
      </w:pPr>
    </w:p>
    <w:p w14:paraId="79AFA216" w14:textId="77777777" w:rsidR="00B27EDF" w:rsidRDefault="00000000">
      <w:r>
        <w:t>Ukupna imovina postrojbe iznosi 697.238,24 EUR. Stanje nefinancijske imovine iznosi 431.422,81 EUR, financijske imovine, iznosi 265.815,43 EUR. </w:t>
      </w:r>
    </w:p>
    <w:p w14:paraId="61EA1FAD" w14:textId="77777777" w:rsidR="00B27EDF" w:rsidRDefault="00000000">
      <w:r>
        <w:t>Nefinancijska imovina povećana u iznosu od 8.844,63 EUR u odnosnu na prethodnu godinu, na što je utjecala nabava nove imovine i knjigovodstveno evidentiranje ispravka vrijednosti dugotrajne imovine.</w:t>
      </w:r>
    </w:p>
    <w:p w14:paraId="6DCE0916" w14:textId="77777777" w:rsidR="00B27EDF" w:rsidRDefault="00000000">
      <w:r>
        <w:t>Financijska imovina bilježi smanjenje u iznosu 14.031,06 EUR. Kod financijske imovine najvećim dijelom se bilježi odstupanje na potraživanjima za prihode poslovanja – skupina 16, u iznosu od 54.033,20 EUR ili za 17,67%. Navedeno je uzrokovano većim padom potraživanja za prihode proračunskog korisnika uplaćene u nadležni proračun od povećanja potraživanja za usluge protupožarnog osiguranja poduzeća. </w:t>
      </w:r>
    </w:p>
    <w:p w14:paraId="143F77A6" w14:textId="77777777" w:rsidR="00B27EDF" w:rsidRDefault="00000000">
      <w:r>
        <w:t>Povećana su potraživanja od zaposlenih u iznosu od 6.439,96 EUR za više isplaćene plaće te ostala potraživanja u iznosu od 4.771,96 EUR koja se odnose na isplaćena bolovanja na teret HZZO te se u narednom razdoblju očekuje refundacija.</w:t>
      </w:r>
    </w:p>
    <w:p w14:paraId="61DDC916" w14:textId="77777777" w:rsidR="00B27EDF" w:rsidRDefault="00000000">
      <w:r>
        <w:t>Ostale stavke bilance  u većim svotama ne bilježe značajna odstupanja.</w:t>
      </w:r>
    </w:p>
    <w:p w14:paraId="14782A29" w14:textId="77777777" w:rsidR="00B27EDF" w:rsidRDefault="00000000">
      <w:r>
        <w:t xml:space="preserve">U </w:t>
      </w:r>
      <w:proofErr w:type="spellStart"/>
      <w:r>
        <w:t>izvanbilančnim</w:t>
      </w:r>
      <w:proofErr w:type="spellEnd"/>
      <w:r>
        <w:t xml:space="preserve"> zapisima postrojba ima evidentiranu tuđu imovinu dobivenu na korištenje, ukupno 10 vozila sukladno sklopljenim ugovorima, 2 uređaja za kopiranje, te jedno jamstvo za uredno ispunjenje ugovora. </w:t>
      </w:r>
    </w:p>
    <w:p w14:paraId="60F62037" w14:textId="77777777" w:rsidR="00B27EDF" w:rsidRDefault="00B27EDF"/>
    <w:p w14:paraId="5D3EB618" w14:textId="77777777" w:rsidR="00B27EDF"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27EDF" w14:paraId="27696646" w14:textId="77777777">
        <w:trPr>
          <w:cantSplit/>
        </w:trPr>
        <w:tc>
          <w:tcPr>
            <w:tcW w:w="700" w:type="dxa"/>
            <w:shd w:val="clear" w:color="auto" w:fill="E7F0F9"/>
            <w:tcMar>
              <w:top w:w="0" w:type="dxa"/>
              <w:bottom w:w="0" w:type="dxa"/>
            </w:tcMar>
            <w:vAlign w:val="center"/>
          </w:tcPr>
          <w:p w14:paraId="49DCA7EF" w14:textId="77777777" w:rsidR="00B27ED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236746" w14:textId="77777777" w:rsidR="00B27ED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3DAE0A" w14:textId="77777777" w:rsidR="00B27ED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4A85A7" w14:textId="77777777" w:rsidR="00B27EDF"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F65793" w14:textId="77777777" w:rsidR="00B27EDF"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8A5848" w14:textId="77777777" w:rsidR="00B27EDF" w:rsidRDefault="00000000">
            <w:pPr>
              <w:keepNext/>
              <w:keepLines/>
              <w:spacing w:after="0" w:line="240" w:lineRule="auto"/>
              <w:jc w:val="center"/>
            </w:pPr>
            <w:r>
              <w:rPr>
                <w:b/>
                <w:sz w:val="18"/>
              </w:rPr>
              <w:t>Indeks (%)</w:t>
            </w:r>
          </w:p>
        </w:tc>
      </w:tr>
      <w:tr w:rsidR="00B27EDF" w14:paraId="31A93FDE" w14:textId="77777777">
        <w:trPr>
          <w:cantSplit/>
          <w:trHeight w:val="560"/>
        </w:trPr>
        <w:tc>
          <w:tcPr>
            <w:tcW w:w="700" w:type="dxa"/>
            <w:tcMar>
              <w:top w:w="0" w:type="dxa"/>
              <w:bottom w:w="0" w:type="dxa"/>
            </w:tcMar>
            <w:vAlign w:val="center"/>
          </w:tcPr>
          <w:p w14:paraId="11855F89" w14:textId="77777777" w:rsidR="00B27EDF" w:rsidRDefault="00000000">
            <w:pPr>
              <w:keepNext/>
              <w:keepLines/>
              <w:spacing w:after="0" w:line="240" w:lineRule="auto"/>
            </w:pPr>
            <w:r>
              <w:rPr>
                <w:sz w:val="18"/>
              </w:rPr>
              <w:t>922</w:t>
            </w:r>
          </w:p>
        </w:tc>
        <w:tc>
          <w:tcPr>
            <w:tcW w:w="3180" w:type="dxa"/>
            <w:tcMar>
              <w:top w:w="0" w:type="dxa"/>
              <w:bottom w:w="0" w:type="dxa"/>
            </w:tcMar>
            <w:vAlign w:val="center"/>
          </w:tcPr>
          <w:p w14:paraId="44AEC5A0" w14:textId="77777777" w:rsidR="00B27EDF"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7FE06BD1" w14:textId="77777777" w:rsidR="00B27EDF" w:rsidRDefault="00000000">
            <w:pPr>
              <w:keepNext/>
              <w:keepLines/>
              <w:spacing w:after="0" w:line="240" w:lineRule="auto"/>
            </w:pPr>
            <w:r>
              <w:rPr>
                <w:sz w:val="18"/>
              </w:rPr>
              <w:t>922</w:t>
            </w:r>
          </w:p>
        </w:tc>
        <w:tc>
          <w:tcPr>
            <w:tcW w:w="1860" w:type="dxa"/>
            <w:tcMar>
              <w:top w:w="0" w:type="dxa"/>
              <w:bottom w:w="0" w:type="dxa"/>
            </w:tcMar>
            <w:vAlign w:val="center"/>
          </w:tcPr>
          <w:p w14:paraId="5F952D9B" w14:textId="77777777" w:rsidR="00B27EDF" w:rsidRDefault="00000000">
            <w:pPr>
              <w:keepNext/>
              <w:keepLines/>
              <w:spacing w:after="0" w:line="240" w:lineRule="auto"/>
              <w:jc w:val="right"/>
            </w:pPr>
            <w:r>
              <w:rPr>
                <w:sz w:val="18"/>
              </w:rPr>
              <w:t>-105.194,81</w:t>
            </w:r>
          </w:p>
        </w:tc>
        <w:tc>
          <w:tcPr>
            <w:tcW w:w="1860" w:type="dxa"/>
            <w:tcMar>
              <w:top w:w="0" w:type="dxa"/>
              <w:bottom w:w="0" w:type="dxa"/>
            </w:tcMar>
            <w:vAlign w:val="center"/>
          </w:tcPr>
          <w:p w14:paraId="790376BC" w14:textId="77777777" w:rsidR="00B27EDF" w:rsidRDefault="00000000">
            <w:pPr>
              <w:keepNext/>
              <w:keepLines/>
              <w:spacing w:after="0" w:line="240" w:lineRule="auto"/>
              <w:jc w:val="right"/>
            </w:pPr>
            <w:r>
              <w:rPr>
                <w:sz w:val="18"/>
              </w:rPr>
              <w:t>-207.510,26</w:t>
            </w:r>
          </w:p>
        </w:tc>
        <w:tc>
          <w:tcPr>
            <w:tcW w:w="700" w:type="dxa"/>
            <w:tcMar>
              <w:top w:w="0" w:type="dxa"/>
              <w:bottom w:w="0" w:type="dxa"/>
            </w:tcMar>
            <w:vAlign w:val="center"/>
          </w:tcPr>
          <w:p w14:paraId="14EF0BED" w14:textId="77777777" w:rsidR="00B27EDF" w:rsidRDefault="00000000">
            <w:pPr>
              <w:keepNext/>
              <w:keepLines/>
              <w:spacing w:after="0" w:line="240" w:lineRule="auto"/>
              <w:jc w:val="right"/>
            </w:pPr>
            <w:r>
              <w:rPr>
                <w:sz w:val="18"/>
              </w:rPr>
              <w:t>197,3</w:t>
            </w:r>
          </w:p>
        </w:tc>
      </w:tr>
    </w:tbl>
    <w:p w14:paraId="4503E70A" w14:textId="77777777" w:rsidR="00B27EDF" w:rsidRDefault="00B27EDF">
      <w:pPr>
        <w:spacing w:after="0"/>
      </w:pPr>
    </w:p>
    <w:p w14:paraId="41C337BC" w14:textId="77777777" w:rsidR="00B27EDF" w:rsidRDefault="00000000">
      <w:r>
        <w:t>REZULTAT POSLOVANJA</w:t>
      </w:r>
    </w:p>
    <w:p w14:paraId="793DFD9C" w14:textId="40F23B1C" w:rsidR="00B27EDF" w:rsidRDefault="00000000">
      <w:r>
        <w:t>Manjak prihoda poslovanja za 2025. godinu iznosi 102.315,03 EUR, dok manjak prihoda iz prethodne godine iznosi 94.923,53  EUR, odnosno kumulirani manjak iz prethodnih razdoblja iznosi 105.19</w:t>
      </w:r>
      <w:r w:rsidR="00BD22E8">
        <w:t>5,23</w:t>
      </w:r>
      <w:r>
        <w:t xml:space="preserve"> EUR.</w:t>
      </w:r>
    </w:p>
    <w:p w14:paraId="5A375377" w14:textId="77777777" w:rsidR="00B27EDF" w:rsidRDefault="00000000">
      <w:r>
        <w:t>Prema tomu manjak prihoda poslovanja koji se prenosi u sljedeće razdoblje iznosi  207.510,26  EUR. Manjak prihoda za 2025. godinu najvećim dijelom proizašao je zbog odgođene naplate prihoda.</w:t>
      </w:r>
    </w:p>
    <w:p w14:paraId="1E1FBFA0" w14:textId="77777777" w:rsidR="00B27EDF" w:rsidRDefault="00000000">
      <w:pPr>
        <w:keepNext/>
        <w:spacing w:line="240" w:lineRule="auto"/>
        <w:jc w:val="center"/>
      </w:pPr>
      <w:r>
        <w:rPr>
          <w:b/>
          <w:sz w:val="28"/>
        </w:rPr>
        <w:lastRenderedPageBreak/>
        <w:t>Izvještaj o rashodima prema funkcijskoj klasifikaciji</w:t>
      </w:r>
    </w:p>
    <w:p w14:paraId="430730D2" w14:textId="77777777" w:rsidR="00B27EDF"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27EDF" w14:paraId="12F884FA" w14:textId="77777777">
        <w:trPr>
          <w:cantSplit/>
        </w:trPr>
        <w:tc>
          <w:tcPr>
            <w:tcW w:w="700" w:type="dxa"/>
            <w:shd w:val="clear" w:color="auto" w:fill="E7F0F9"/>
            <w:tcMar>
              <w:top w:w="0" w:type="dxa"/>
              <w:bottom w:w="0" w:type="dxa"/>
            </w:tcMar>
            <w:vAlign w:val="center"/>
          </w:tcPr>
          <w:p w14:paraId="05E8BE03" w14:textId="77777777" w:rsidR="00B27ED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CE24C6" w14:textId="77777777" w:rsidR="00B27ED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6595CD" w14:textId="77777777" w:rsidR="00B27ED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309318" w14:textId="77777777" w:rsidR="00B27ED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87CD59" w14:textId="77777777" w:rsidR="00B27ED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DD89B4" w14:textId="77777777" w:rsidR="00B27EDF" w:rsidRDefault="00000000">
            <w:pPr>
              <w:keepNext/>
              <w:keepLines/>
              <w:spacing w:after="0" w:line="240" w:lineRule="auto"/>
              <w:jc w:val="center"/>
            </w:pPr>
            <w:r>
              <w:rPr>
                <w:b/>
                <w:sz w:val="18"/>
              </w:rPr>
              <w:t>Indeks (%)</w:t>
            </w:r>
          </w:p>
        </w:tc>
      </w:tr>
      <w:tr w:rsidR="00B27EDF" w14:paraId="55124602" w14:textId="77777777">
        <w:trPr>
          <w:cantSplit/>
          <w:trHeight w:val="560"/>
        </w:trPr>
        <w:tc>
          <w:tcPr>
            <w:tcW w:w="700" w:type="dxa"/>
            <w:tcMar>
              <w:top w:w="0" w:type="dxa"/>
              <w:bottom w:w="0" w:type="dxa"/>
            </w:tcMar>
            <w:vAlign w:val="center"/>
          </w:tcPr>
          <w:p w14:paraId="63122257" w14:textId="77777777" w:rsidR="00B27EDF" w:rsidRDefault="00000000">
            <w:pPr>
              <w:keepNext/>
              <w:keepLines/>
              <w:spacing w:after="0" w:line="240" w:lineRule="auto"/>
            </w:pPr>
            <w:r>
              <w:rPr>
                <w:sz w:val="18"/>
              </w:rPr>
              <w:t>032</w:t>
            </w:r>
          </w:p>
        </w:tc>
        <w:tc>
          <w:tcPr>
            <w:tcW w:w="3180" w:type="dxa"/>
            <w:tcMar>
              <w:top w:w="0" w:type="dxa"/>
              <w:bottom w:w="0" w:type="dxa"/>
            </w:tcMar>
            <w:vAlign w:val="center"/>
          </w:tcPr>
          <w:p w14:paraId="49BC544C" w14:textId="77777777" w:rsidR="00B27EDF" w:rsidRDefault="00000000">
            <w:pPr>
              <w:keepNext/>
              <w:keepLines/>
              <w:spacing w:after="0" w:line="240" w:lineRule="auto"/>
            </w:pPr>
            <w:r>
              <w:rPr>
                <w:sz w:val="18"/>
              </w:rPr>
              <w:t>Usluge protupožarne zaštite</w:t>
            </w:r>
          </w:p>
        </w:tc>
        <w:tc>
          <w:tcPr>
            <w:tcW w:w="700" w:type="dxa"/>
            <w:tcMar>
              <w:top w:w="0" w:type="dxa"/>
              <w:bottom w:w="0" w:type="dxa"/>
            </w:tcMar>
            <w:vAlign w:val="center"/>
          </w:tcPr>
          <w:p w14:paraId="58FAC8A4" w14:textId="77777777" w:rsidR="00B27EDF" w:rsidRDefault="00000000">
            <w:pPr>
              <w:keepNext/>
              <w:keepLines/>
              <w:spacing w:after="0" w:line="240" w:lineRule="auto"/>
            </w:pPr>
            <w:r>
              <w:rPr>
                <w:sz w:val="18"/>
              </w:rPr>
              <w:t>032</w:t>
            </w:r>
          </w:p>
        </w:tc>
        <w:tc>
          <w:tcPr>
            <w:tcW w:w="1860" w:type="dxa"/>
            <w:tcMar>
              <w:top w:w="0" w:type="dxa"/>
              <w:bottom w:w="0" w:type="dxa"/>
            </w:tcMar>
            <w:vAlign w:val="center"/>
          </w:tcPr>
          <w:p w14:paraId="27F01E09" w14:textId="77777777" w:rsidR="00B27EDF" w:rsidRDefault="00000000">
            <w:pPr>
              <w:keepNext/>
              <w:keepLines/>
              <w:spacing w:after="0" w:line="240" w:lineRule="auto"/>
              <w:jc w:val="right"/>
            </w:pPr>
            <w:r>
              <w:rPr>
                <w:sz w:val="18"/>
              </w:rPr>
              <w:t>2.768.303,63</w:t>
            </w:r>
          </w:p>
        </w:tc>
        <w:tc>
          <w:tcPr>
            <w:tcW w:w="1860" w:type="dxa"/>
            <w:tcMar>
              <w:top w:w="0" w:type="dxa"/>
              <w:bottom w:w="0" w:type="dxa"/>
            </w:tcMar>
            <w:vAlign w:val="center"/>
          </w:tcPr>
          <w:p w14:paraId="41BD0CAC" w14:textId="77777777" w:rsidR="00B27EDF" w:rsidRDefault="00000000">
            <w:pPr>
              <w:keepNext/>
              <w:keepLines/>
              <w:spacing w:after="0" w:line="240" w:lineRule="auto"/>
              <w:jc w:val="right"/>
            </w:pPr>
            <w:r>
              <w:rPr>
                <w:sz w:val="18"/>
              </w:rPr>
              <w:t>3.102.223,25</w:t>
            </w:r>
          </w:p>
        </w:tc>
        <w:tc>
          <w:tcPr>
            <w:tcW w:w="700" w:type="dxa"/>
            <w:tcMar>
              <w:top w:w="0" w:type="dxa"/>
              <w:bottom w:w="0" w:type="dxa"/>
            </w:tcMar>
            <w:vAlign w:val="center"/>
          </w:tcPr>
          <w:p w14:paraId="0C9BEE51" w14:textId="77777777" w:rsidR="00B27EDF" w:rsidRDefault="00000000">
            <w:pPr>
              <w:keepNext/>
              <w:keepLines/>
              <w:spacing w:after="0" w:line="240" w:lineRule="auto"/>
              <w:jc w:val="right"/>
            </w:pPr>
            <w:r>
              <w:rPr>
                <w:sz w:val="18"/>
              </w:rPr>
              <w:t>112,1</w:t>
            </w:r>
          </w:p>
        </w:tc>
      </w:tr>
    </w:tbl>
    <w:p w14:paraId="3914977D" w14:textId="77777777" w:rsidR="00B27EDF" w:rsidRDefault="00B27EDF">
      <w:pPr>
        <w:spacing w:after="0"/>
      </w:pPr>
    </w:p>
    <w:p w14:paraId="66046B4D" w14:textId="77777777" w:rsidR="00B27EDF" w:rsidRDefault="00000000">
      <w:r>
        <w:t>Funkcija usluge protupožarne zaštite iznosi 3.102.223,25 EUR, te bilježi povećanje u odnosu na prethodnu godinu u iznosu od 333.919,62 EUR, sukladno obrazloženju rashoda i izdataka </w:t>
      </w:r>
    </w:p>
    <w:p w14:paraId="52956175" w14:textId="77777777" w:rsidR="00B27EDF" w:rsidRDefault="00B27EDF"/>
    <w:p w14:paraId="47C8A257" w14:textId="77777777" w:rsidR="00B27EDF" w:rsidRDefault="00000000">
      <w:pPr>
        <w:keepNext/>
        <w:spacing w:line="240" w:lineRule="auto"/>
        <w:jc w:val="center"/>
      </w:pPr>
      <w:r>
        <w:rPr>
          <w:b/>
          <w:sz w:val="28"/>
        </w:rPr>
        <w:t>Promjene u vrijednosti i obujmu imovine i obveza</w:t>
      </w:r>
    </w:p>
    <w:p w14:paraId="7708BF77" w14:textId="77777777" w:rsidR="00B27EDF"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27EDF" w14:paraId="7E2B6596" w14:textId="77777777">
        <w:trPr>
          <w:cantSplit/>
        </w:trPr>
        <w:tc>
          <w:tcPr>
            <w:tcW w:w="700" w:type="dxa"/>
            <w:shd w:val="clear" w:color="auto" w:fill="E7F0F9"/>
            <w:tcMar>
              <w:top w:w="0" w:type="dxa"/>
              <w:bottom w:w="0" w:type="dxa"/>
            </w:tcMar>
            <w:vAlign w:val="center"/>
          </w:tcPr>
          <w:p w14:paraId="25A62C99" w14:textId="77777777" w:rsidR="00B27ED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09A080" w14:textId="77777777" w:rsidR="00B27ED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5F542C" w14:textId="77777777" w:rsidR="00B27ED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2CF7A0" w14:textId="77777777" w:rsidR="00B27EDF"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7246E38" w14:textId="77777777" w:rsidR="00B27EDF"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BA543EB" w14:textId="77777777" w:rsidR="00B27EDF" w:rsidRDefault="00000000">
            <w:pPr>
              <w:keepNext/>
              <w:keepLines/>
              <w:spacing w:after="0" w:line="240" w:lineRule="auto"/>
              <w:jc w:val="center"/>
            </w:pPr>
            <w:r>
              <w:rPr>
                <w:b/>
                <w:sz w:val="18"/>
              </w:rPr>
              <w:t>Indeks (%)</w:t>
            </w:r>
          </w:p>
        </w:tc>
      </w:tr>
      <w:tr w:rsidR="00B27EDF" w14:paraId="5EEA026F" w14:textId="77777777">
        <w:trPr>
          <w:cantSplit/>
          <w:trHeight w:val="560"/>
        </w:trPr>
        <w:tc>
          <w:tcPr>
            <w:tcW w:w="700" w:type="dxa"/>
            <w:tcMar>
              <w:top w:w="0" w:type="dxa"/>
              <w:bottom w:w="0" w:type="dxa"/>
            </w:tcMar>
            <w:vAlign w:val="center"/>
          </w:tcPr>
          <w:p w14:paraId="61E515D0" w14:textId="77777777" w:rsidR="00B27EDF" w:rsidRDefault="00B27EDF">
            <w:pPr>
              <w:keepNext/>
              <w:keepLines/>
              <w:spacing w:after="0" w:line="240" w:lineRule="auto"/>
            </w:pPr>
          </w:p>
        </w:tc>
        <w:tc>
          <w:tcPr>
            <w:tcW w:w="3180" w:type="dxa"/>
            <w:tcMar>
              <w:top w:w="0" w:type="dxa"/>
              <w:bottom w:w="0" w:type="dxa"/>
            </w:tcMar>
            <w:vAlign w:val="center"/>
          </w:tcPr>
          <w:p w14:paraId="2C82C32D" w14:textId="77777777" w:rsidR="00B27EDF"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2F865D6E" w14:textId="77777777" w:rsidR="00B27EDF" w:rsidRDefault="00000000">
            <w:pPr>
              <w:keepNext/>
              <w:keepLines/>
              <w:spacing w:after="0" w:line="240" w:lineRule="auto"/>
            </w:pPr>
            <w:r>
              <w:rPr>
                <w:sz w:val="18"/>
              </w:rPr>
              <w:t>P003</w:t>
            </w:r>
          </w:p>
        </w:tc>
        <w:tc>
          <w:tcPr>
            <w:tcW w:w="1860" w:type="dxa"/>
            <w:tcMar>
              <w:top w:w="0" w:type="dxa"/>
              <w:bottom w:w="0" w:type="dxa"/>
            </w:tcMar>
            <w:vAlign w:val="center"/>
          </w:tcPr>
          <w:p w14:paraId="50BB14C2" w14:textId="77777777" w:rsidR="00B27EDF" w:rsidRDefault="00000000">
            <w:pPr>
              <w:keepNext/>
              <w:keepLines/>
              <w:spacing w:after="0" w:line="240" w:lineRule="auto"/>
              <w:jc w:val="right"/>
            </w:pPr>
            <w:r>
              <w:rPr>
                <w:sz w:val="18"/>
              </w:rPr>
              <w:t>0,00</w:t>
            </w:r>
          </w:p>
        </w:tc>
        <w:tc>
          <w:tcPr>
            <w:tcW w:w="1860" w:type="dxa"/>
            <w:tcMar>
              <w:top w:w="0" w:type="dxa"/>
              <w:bottom w:w="0" w:type="dxa"/>
            </w:tcMar>
            <w:vAlign w:val="center"/>
          </w:tcPr>
          <w:p w14:paraId="3418417A" w14:textId="77777777" w:rsidR="00B27EDF" w:rsidRDefault="00000000">
            <w:pPr>
              <w:keepNext/>
              <w:keepLines/>
              <w:spacing w:after="0" w:line="240" w:lineRule="auto"/>
              <w:jc w:val="right"/>
            </w:pPr>
            <w:r>
              <w:rPr>
                <w:sz w:val="18"/>
              </w:rPr>
              <w:t>33.293,34</w:t>
            </w:r>
          </w:p>
        </w:tc>
        <w:tc>
          <w:tcPr>
            <w:tcW w:w="700" w:type="dxa"/>
            <w:tcMar>
              <w:top w:w="0" w:type="dxa"/>
              <w:bottom w:w="0" w:type="dxa"/>
            </w:tcMar>
            <w:vAlign w:val="center"/>
          </w:tcPr>
          <w:p w14:paraId="2194A77C" w14:textId="77777777" w:rsidR="00B27EDF" w:rsidRDefault="00000000">
            <w:pPr>
              <w:keepNext/>
              <w:keepLines/>
              <w:spacing w:after="0" w:line="240" w:lineRule="auto"/>
              <w:jc w:val="right"/>
            </w:pPr>
            <w:r>
              <w:rPr>
                <w:sz w:val="18"/>
              </w:rPr>
              <w:t>-</w:t>
            </w:r>
          </w:p>
        </w:tc>
      </w:tr>
    </w:tbl>
    <w:p w14:paraId="526C339D" w14:textId="77777777" w:rsidR="00B27EDF" w:rsidRDefault="00B27EDF">
      <w:pPr>
        <w:spacing w:after="0"/>
      </w:pPr>
    </w:p>
    <w:p w14:paraId="1C04FF54" w14:textId="77777777" w:rsidR="00B27EDF" w:rsidRDefault="00000000">
      <w:r>
        <w:t xml:space="preserve">Smanjenje vrijednosti </w:t>
      </w:r>
      <w:proofErr w:type="spellStart"/>
      <w:r>
        <w:t>neproizvedene</w:t>
      </w:r>
      <w:proofErr w:type="spellEnd"/>
      <w:r>
        <w:t xml:space="preserve"> dugotrajne imovine u iznosu od 33.293,34 EUR odnosi se na ispravak vrijednosti dugotrajne imovine, sukladno Pravilniku o proračunskom računovodstvu i računskom planu.           </w:t>
      </w:r>
    </w:p>
    <w:p w14:paraId="06C40592" w14:textId="77777777" w:rsidR="00B27EDF" w:rsidRDefault="00B27EDF"/>
    <w:p w14:paraId="29167387" w14:textId="77777777" w:rsidR="00B27EDF" w:rsidRDefault="00000000">
      <w:pPr>
        <w:keepNext/>
        <w:spacing w:line="240" w:lineRule="auto"/>
        <w:jc w:val="center"/>
      </w:pPr>
      <w:r>
        <w:rPr>
          <w:b/>
          <w:sz w:val="28"/>
        </w:rPr>
        <w:t>Izvještaj o obvezama</w:t>
      </w:r>
    </w:p>
    <w:p w14:paraId="5D5AD271" w14:textId="77777777" w:rsidR="00B27EDF"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27EDF" w14:paraId="115CF8DD" w14:textId="77777777">
        <w:trPr>
          <w:cantSplit/>
        </w:trPr>
        <w:tc>
          <w:tcPr>
            <w:tcW w:w="700" w:type="dxa"/>
            <w:shd w:val="clear" w:color="auto" w:fill="E7F0F9"/>
            <w:tcMar>
              <w:top w:w="0" w:type="dxa"/>
              <w:bottom w:w="0" w:type="dxa"/>
            </w:tcMar>
            <w:vAlign w:val="center"/>
          </w:tcPr>
          <w:p w14:paraId="00480F13" w14:textId="77777777" w:rsidR="00B27ED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76ED18" w14:textId="77777777" w:rsidR="00B27ED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729D77" w14:textId="77777777" w:rsidR="00B27ED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0FCE19" w14:textId="77777777" w:rsidR="00B27ED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9627631" w14:textId="77777777" w:rsidR="00B27EDF" w:rsidRDefault="00000000">
            <w:pPr>
              <w:keepNext/>
              <w:keepLines/>
              <w:spacing w:after="0" w:line="240" w:lineRule="auto"/>
              <w:jc w:val="center"/>
            </w:pPr>
            <w:r>
              <w:rPr>
                <w:b/>
                <w:sz w:val="18"/>
              </w:rPr>
              <w:t>Indeks (%)</w:t>
            </w:r>
          </w:p>
        </w:tc>
      </w:tr>
      <w:tr w:rsidR="00B27EDF" w14:paraId="222EA04F" w14:textId="77777777">
        <w:trPr>
          <w:cantSplit/>
          <w:trHeight w:val="560"/>
        </w:trPr>
        <w:tc>
          <w:tcPr>
            <w:tcW w:w="700" w:type="dxa"/>
            <w:tcMar>
              <w:top w:w="0" w:type="dxa"/>
              <w:bottom w:w="0" w:type="dxa"/>
            </w:tcMar>
            <w:vAlign w:val="center"/>
          </w:tcPr>
          <w:p w14:paraId="36C3FF91" w14:textId="77777777" w:rsidR="00B27EDF" w:rsidRDefault="00B27EDF">
            <w:pPr>
              <w:keepNext/>
              <w:keepLines/>
              <w:spacing w:after="0" w:line="240" w:lineRule="auto"/>
            </w:pPr>
          </w:p>
        </w:tc>
        <w:tc>
          <w:tcPr>
            <w:tcW w:w="3180" w:type="dxa"/>
            <w:tcMar>
              <w:top w:w="0" w:type="dxa"/>
              <w:bottom w:w="0" w:type="dxa"/>
            </w:tcMar>
            <w:vAlign w:val="center"/>
          </w:tcPr>
          <w:p w14:paraId="183029E1" w14:textId="77777777" w:rsidR="00B27EDF"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0AC36C2A" w14:textId="77777777" w:rsidR="00B27EDF" w:rsidRDefault="00000000">
            <w:pPr>
              <w:keepNext/>
              <w:keepLines/>
              <w:spacing w:after="0" w:line="240" w:lineRule="auto"/>
            </w:pPr>
            <w:r>
              <w:rPr>
                <w:sz w:val="18"/>
              </w:rPr>
              <w:t>V001</w:t>
            </w:r>
          </w:p>
        </w:tc>
        <w:tc>
          <w:tcPr>
            <w:tcW w:w="1860" w:type="dxa"/>
            <w:tcMar>
              <w:top w:w="0" w:type="dxa"/>
              <w:bottom w:w="0" w:type="dxa"/>
            </w:tcMar>
            <w:vAlign w:val="center"/>
          </w:tcPr>
          <w:p w14:paraId="06194F6B" w14:textId="77777777" w:rsidR="00B27EDF" w:rsidRDefault="00000000">
            <w:pPr>
              <w:keepNext/>
              <w:keepLines/>
              <w:spacing w:after="0" w:line="240" w:lineRule="auto"/>
              <w:jc w:val="right"/>
            </w:pPr>
            <w:r>
              <w:rPr>
                <w:sz w:val="18"/>
              </w:rPr>
              <w:t>321.279,90</w:t>
            </w:r>
          </w:p>
        </w:tc>
        <w:tc>
          <w:tcPr>
            <w:tcW w:w="700" w:type="dxa"/>
            <w:tcMar>
              <w:top w:w="0" w:type="dxa"/>
              <w:bottom w:w="0" w:type="dxa"/>
            </w:tcMar>
            <w:vAlign w:val="center"/>
          </w:tcPr>
          <w:p w14:paraId="14086C47" w14:textId="77777777" w:rsidR="00B27EDF" w:rsidRDefault="00000000">
            <w:pPr>
              <w:keepNext/>
              <w:keepLines/>
              <w:spacing w:after="0" w:line="240" w:lineRule="auto"/>
              <w:jc w:val="right"/>
            </w:pPr>
            <w:r>
              <w:rPr>
                <w:sz w:val="18"/>
              </w:rPr>
              <w:t>-</w:t>
            </w:r>
          </w:p>
        </w:tc>
      </w:tr>
    </w:tbl>
    <w:p w14:paraId="71C8B93C" w14:textId="77777777" w:rsidR="00B27EDF" w:rsidRDefault="00B27EDF">
      <w:pPr>
        <w:spacing w:after="0"/>
      </w:pPr>
    </w:p>
    <w:p w14:paraId="3C771807" w14:textId="77777777" w:rsidR="00B27EDF" w:rsidRDefault="00000000">
      <w:r>
        <w:t>Stanje obveza na početku izvještajnog razdoblja iznosi 321.279,90 EUR, dok stanje obveza na kraju izvještajnog razdoblja iznosi 315.298,61 EUR, od čega za zaposlene 257.562,01 EUR, obveze za materijalne rashode 29.583,50 EUR, obveze za financijske rashode 137,70 EUR i za ostale obveze 15.565,40 EUR te stanje obveza za nabavu nefinancijske imovine na kraju razdoblja 12.450,00 EUR.</w:t>
      </w:r>
    </w:p>
    <w:p w14:paraId="3FE1874E" w14:textId="77777777" w:rsidR="00B27EDF" w:rsidRDefault="00000000">
      <w:r>
        <w:t> </w:t>
      </w:r>
    </w:p>
    <w:p w14:paraId="4A108F1B" w14:textId="77777777" w:rsidR="00B27EDF" w:rsidRDefault="00000000">
      <w:r>
        <w:t>Stanje nedospjelih obveza iznosi 302.390,22 EUR za obveze za rashode poslovanja i 12.450,00 za nabavu nefinancijske imovine.</w:t>
      </w:r>
    </w:p>
    <w:p w14:paraId="784EDB7E" w14:textId="77777777" w:rsidR="00B27EDF" w:rsidRDefault="00000000">
      <w:r>
        <w:t> </w:t>
      </w:r>
    </w:p>
    <w:p w14:paraId="04476511" w14:textId="77777777" w:rsidR="00B27EDF" w:rsidRDefault="00000000">
      <w:r>
        <w:lastRenderedPageBreak/>
        <w:t>Dospjele obveze u iznosu od 458,39 EUR odnose se na obveze prema dobavljaču koji je račun dostavio u zakašnjenju te nije bilo moguće podmiriti obvezu do roka dospijeća navedenog na računu.</w:t>
      </w:r>
    </w:p>
    <w:p w14:paraId="41FCED0E" w14:textId="77777777" w:rsidR="00B27EDF" w:rsidRDefault="00B27EDF"/>
    <w:p w14:paraId="1F1F0E8D" w14:textId="77777777" w:rsidR="00B27EDF"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27EDF" w14:paraId="518307CC" w14:textId="77777777">
        <w:trPr>
          <w:cantSplit/>
        </w:trPr>
        <w:tc>
          <w:tcPr>
            <w:tcW w:w="700" w:type="dxa"/>
            <w:shd w:val="clear" w:color="auto" w:fill="E7F0F9"/>
            <w:tcMar>
              <w:top w:w="0" w:type="dxa"/>
              <w:bottom w:w="0" w:type="dxa"/>
            </w:tcMar>
            <w:vAlign w:val="center"/>
          </w:tcPr>
          <w:p w14:paraId="057DF03F" w14:textId="77777777" w:rsidR="00B27ED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765D21" w14:textId="77777777" w:rsidR="00B27ED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DF9654" w14:textId="77777777" w:rsidR="00B27ED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96D81B" w14:textId="77777777" w:rsidR="00B27EDF"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7ED3124" w14:textId="77777777" w:rsidR="00B27EDF" w:rsidRDefault="00000000">
            <w:pPr>
              <w:keepNext/>
              <w:keepLines/>
              <w:spacing w:after="0" w:line="240" w:lineRule="auto"/>
              <w:jc w:val="center"/>
            </w:pPr>
            <w:r>
              <w:rPr>
                <w:b/>
                <w:sz w:val="18"/>
              </w:rPr>
              <w:t>Indeks (%)</w:t>
            </w:r>
          </w:p>
        </w:tc>
      </w:tr>
      <w:tr w:rsidR="00B27EDF" w14:paraId="1EEFD9C7" w14:textId="77777777">
        <w:trPr>
          <w:cantSplit/>
          <w:trHeight w:val="560"/>
        </w:trPr>
        <w:tc>
          <w:tcPr>
            <w:tcW w:w="700" w:type="dxa"/>
            <w:tcMar>
              <w:top w:w="0" w:type="dxa"/>
              <w:bottom w:w="0" w:type="dxa"/>
            </w:tcMar>
            <w:vAlign w:val="center"/>
          </w:tcPr>
          <w:p w14:paraId="2ACEEF28" w14:textId="77777777" w:rsidR="00B27EDF" w:rsidRDefault="00B27EDF">
            <w:pPr>
              <w:keepNext/>
              <w:keepLines/>
              <w:spacing w:after="0" w:line="240" w:lineRule="auto"/>
            </w:pPr>
          </w:p>
        </w:tc>
        <w:tc>
          <w:tcPr>
            <w:tcW w:w="3180" w:type="dxa"/>
            <w:tcMar>
              <w:top w:w="0" w:type="dxa"/>
              <w:bottom w:w="0" w:type="dxa"/>
            </w:tcMar>
            <w:vAlign w:val="center"/>
          </w:tcPr>
          <w:p w14:paraId="5FB9A766" w14:textId="77777777" w:rsidR="00B27EDF"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057D409" w14:textId="77777777" w:rsidR="00B27EDF" w:rsidRDefault="00000000">
            <w:pPr>
              <w:keepNext/>
              <w:keepLines/>
              <w:spacing w:after="0" w:line="240" w:lineRule="auto"/>
            </w:pPr>
            <w:r>
              <w:rPr>
                <w:sz w:val="18"/>
              </w:rPr>
              <w:t>V007</w:t>
            </w:r>
          </w:p>
        </w:tc>
        <w:tc>
          <w:tcPr>
            <w:tcW w:w="1860" w:type="dxa"/>
            <w:tcMar>
              <w:top w:w="0" w:type="dxa"/>
              <w:bottom w:w="0" w:type="dxa"/>
            </w:tcMar>
            <w:vAlign w:val="center"/>
          </w:tcPr>
          <w:p w14:paraId="746E5141" w14:textId="77777777" w:rsidR="00B27EDF" w:rsidRDefault="00000000">
            <w:pPr>
              <w:keepNext/>
              <w:keepLines/>
              <w:spacing w:after="0" w:line="240" w:lineRule="auto"/>
              <w:jc w:val="right"/>
            </w:pPr>
            <w:r>
              <w:rPr>
                <w:sz w:val="18"/>
              </w:rPr>
              <w:t>458,39</w:t>
            </w:r>
          </w:p>
        </w:tc>
        <w:tc>
          <w:tcPr>
            <w:tcW w:w="700" w:type="dxa"/>
            <w:tcMar>
              <w:top w:w="0" w:type="dxa"/>
              <w:bottom w:w="0" w:type="dxa"/>
            </w:tcMar>
            <w:vAlign w:val="center"/>
          </w:tcPr>
          <w:p w14:paraId="473031B5" w14:textId="77777777" w:rsidR="00B27EDF" w:rsidRDefault="00000000">
            <w:pPr>
              <w:keepNext/>
              <w:keepLines/>
              <w:spacing w:after="0" w:line="240" w:lineRule="auto"/>
              <w:jc w:val="right"/>
            </w:pPr>
            <w:r>
              <w:rPr>
                <w:sz w:val="18"/>
              </w:rPr>
              <w:t>-</w:t>
            </w:r>
          </w:p>
        </w:tc>
      </w:tr>
    </w:tbl>
    <w:p w14:paraId="728265C8" w14:textId="77777777" w:rsidR="00B27EDF" w:rsidRDefault="00B27EDF">
      <w:pPr>
        <w:spacing w:after="0"/>
      </w:pPr>
    </w:p>
    <w:p w14:paraId="0F87963B" w14:textId="77777777" w:rsidR="00B27EDF" w:rsidRDefault="00000000">
      <w:r>
        <w:t>Dospjele obveze u iznosu od 458,39 EUR odnose se na obveze prema dobavljaču koji je račun dostavio u zakašnjenju te nije bilo moguće podmiriti obvezu do roka dospijeća navedenog na računu. Obveza je podmirena početkom siječnja 2026. godine.</w:t>
      </w:r>
    </w:p>
    <w:p w14:paraId="5F9B108D" w14:textId="77777777" w:rsidR="00B27EDF" w:rsidRDefault="00B27EDF"/>
    <w:sectPr w:rsidR="00B27E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DF"/>
    <w:rsid w:val="0000422D"/>
    <w:rsid w:val="00187960"/>
    <w:rsid w:val="0042686F"/>
    <w:rsid w:val="005C1894"/>
    <w:rsid w:val="00805676"/>
    <w:rsid w:val="00B27EDF"/>
    <w:rsid w:val="00BD22E8"/>
    <w:rsid w:val="00CD12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23B6"/>
  <w15:docId w15:val="{E354E55E-6E21-48AC-A05E-281A6A80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1900</Words>
  <Characters>11195</Characters>
  <Application>Microsoft Office Word</Application>
  <DocSecurity>0</DocSecurity>
  <Lines>430</Lines>
  <Paragraphs>272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Lidija Kovacic</cp:lastModifiedBy>
  <cp:revision>2</cp:revision>
  <dcterms:created xsi:type="dcterms:W3CDTF">2026-02-18T08:46:00Z</dcterms:created>
  <dcterms:modified xsi:type="dcterms:W3CDTF">2026-02-18T08:46:00Z</dcterms:modified>
</cp:coreProperties>
</file>